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235-п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  <w:rPr>
          <w:highlight w:val="none"/>
        </w:rPr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6"/>
        <w:ind w:left="1900" w:right="2026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260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Шацкий,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Шацк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6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057 321 м² ± 1 292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1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083584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083584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6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4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083072" behindDoc="1" locked="0" layoutInCell="1" allowOverlap="1">
              <wp:simplePos x="0" y="0"/>
              <wp:positionH relativeFrom="page">
                <wp:posOffset>3663949</wp:posOffset>
              </wp:positionH>
              <wp:positionV relativeFrom="page">
                <wp:posOffset>177881</wp:posOffset>
              </wp:positionV>
              <wp:extent cx="518159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159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083072;o:allowoverlap:true;o:allowincell:true;mso-position-horizontal-relative:page;margin-left:288.50pt;mso-position-horizontal:absolute;mso-position-vertical-relative:page;margin-top:14.01pt;mso-position-vertical:absolute;width:40.8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2025-03-20T10:00:47Z</dcterms:created>
  <dcterms:modified xsi:type="dcterms:W3CDTF">2025-03-28T12:51:50Z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2025-03-20T00:00:00Z</vt:filetime>
  </property>
  <property fmtid="{D5CDD505-2E9C-101B-9397-08002B2CF9AE}" pid="5" name="Producer">
    <vt:lpwstr>АО Новые коммуникационные технологии, 2020</vt:lpwstr>
  </property>
</Properties>
</file>