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1</w:t>
      </w:r>
      <w:r>
        <w:rPr>
          <w:sz w:val="24"/>
        </w:rPr>
      </w:r>
      <w:r>
        <w:rPr>
          <w:sz w:val="24"/>
        </w:rPr>
      </w:r>
    </w:p>
    <w:p>
      <w:pPr>
        <w:pStyle w:val="91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от 03 апреля 2025 г. № 248-п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ind w:firstLine="0"/>
        <w:jc w:val="left"/>
        <w:spacing w:line="283" w:lineRule="atLeast"/>
        <w:rPr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«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9653" w:type="dxa"/>
        <w:tblInd w:w="-1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5352"/>
        <w:gridCol w:w="2054"/>
      </w:tblGrid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eastAsia="Times New Roman"/>
                <w:b/>
                <w:sz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eastAsia="Times New Roman"/>
                <w:b/>
                <w:sz w:val="24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6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47625</wp:posOffset>
                      </wp:positionV>
                      <wp:extent cx="869950" cy="381044"/>
                      <wp:effectExtent l="4762" t="4762" r="4762" b="4762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869949" cy="3810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80"/>
                                    <w:ind w:firstLine="0"/>
                                    <w:jc w:val="center"/>
                                    <w:shd w:val="clear" w:color="f9fac0" w:fill="f9fac0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Ж1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980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10;o:allowoverlap:true;o:allowincell:true;mso-position-horizontal-relative:text;margin-left:117.60pt;mso-position-horizontal:absolute;mso-position-vertical-relative:text;margin-top:3.75pt;mso-position-vertical:absolute;width:68.50pt;height:30.00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980"/>
                              <w:ind w:firstLine="0"/>
                              <w:jc w:val="center"/>
                              <w:shd w:val="clear" w:color="f9fac0" w:fill="f9fac0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Ж1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980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6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widowControl w:val="off"/>
              <w:rPr>
                <w:rFonts w:eastAsia="Times New Roman"/>
                <w:b/>
                <w:b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  <w:t xml:space="preserve">Зона застройки индивидуальными жилыми домами</w:t>
            </w:r>
            <w:r>
              <w:rPr>
                <w:rFonts w:eastAsia="Times New Roman"/>
                <w:b/>
                <w:b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11"/>
              <w:ind w:firstLine="0"/>
              <w:widowControl w:val="off"/>
              <w:rPr>
                <w:sz w:val="24"/>
                <w:highlight w:val="red"/>
              </w:rPr>
            </w:pPr>
            <w:r>
              <w:rPr>
                <w:sz w:val="24"/>
                <w:highlight w:val="red"/>
              </w:rPr>
            </w:r>
            <w:r>
              <w:rPr>
                <w:sz w:val="24"/>
                <w:highlight w:val="red"/>
              </w:rPr>
            </w:r>
            <w:r>
              <w:rPr>
                <w:sz w:val="24"/>
                <w:highlight w:val="red"/>
              </w:rPr>
            </w:r>
          </w:p>
        </w:tc>
      </w:tr>
      <w:tr>
        <w:tblPrEx/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eastAsia="Times New Roman"/>
                <w:b/>
                <w:sz w:val="24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eastAsia="Times New Roman"/>
                <w:b/>
                <w:sz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4" w:type="dxa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Код по классификатору</w:t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727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highlight w:val="white"/>
              </w:rPr>
              <w:t xml:space="preserve">Основные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для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индивидуального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жилищного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строительства;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малоэтажная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многоквартирная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жилая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застройка;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39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д</w:t>
            </w:r>
            <w:r>
              <w:rPr>
                <w:color w:val="000000" w:themeColor="text1"/>
                <w:sz w:val="24"/>
                <w:szCs w:val="24"/>
              </w:rPr>
              <w:t xml:space="preserve">ля ведения личного подсобного хозяйства (приусадебный земельный участок)</w:t>
            </w: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блокированная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жилая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застройка;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40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х</w:t>
            </w:r>
            <w:r>
              <w:rPr>
                <w:color w:val="000000" w:themeColor="text1"/>
                <w:sz w:val="24"/>
                <w:szCs w:val="24"/>
              </w:rPr>
              <w:t xml:space="preserve">ранение автотранспорта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коммунальное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обслуживание;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социальное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обслуживание;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бытовое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обслуживание;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амбулаторно-поликлиническое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обслуживание;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дошкольное,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начальное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среднее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общее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образование;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культурное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развитие;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религиозное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использование;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общественное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управление;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32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обеспечение</w:t>
            </w:r>
            <w:r>
              <w:rPr>
                <w:color w:val="000000" w:themeColor="text1"/>
                <w:spacing w:val="2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деятельности</w:t>
            </w:r>
            <w:r>
              <w:rPr>
                <w:color w:val="000000" w:themeColor="text1"/>
                <w:spacing w:val="2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2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области</w:t>
            </w:r>
            <w:r>
              <w:rPr>
                <w:color w:val="000000" w:themeColor="text1"/>
                <w:spacing w:val="2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гидрометеорологии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lang w:val="ru-RU"/>
              </w:rPr>
              <w:t xml:space="preserve">          </w:t>
            </w:r>
            <w:r>
              <w:rPr>
                <w:color w:val="000000" w:themeColor="text1"/>
                <w:sz w:val="24"/>
              </w:rPr>
              <w:t xml:space="preserve">и смежных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ней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областях;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магазины;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общественное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питание;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спорт;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связь;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976"/>
              <w:numPr>
                <w:ilvl w:val="0"/>
                <w:numId w:val="1"/>
              </w:numPr>
              <w:ind w:left="142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земельные участки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(территории)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общего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пользования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4" w:type="dxa"/>
            <w:textDirection w:val="lrTb"/>
            <w:noWrap w:val="false"/>
          </w:tcPr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2.1.1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2.2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2.3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2.7.1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3.1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3.2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3.3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3.4.1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3.5.1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3.6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3.7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3.8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3.9.1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4.4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4.6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5.1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6.8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" w:right="0" w:firstLine="0"/>
              <w:jc w:val="center"/>
              <w:spacing w:before="0" w:after="0" w:line="275" w:lineRule="exact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12.0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11"/>
              <w:ind w:firstLine="0"/>
              <w:widowControl w:val="off"/>
            </w:pPr>
            <w:r>
              <w:t xml:space="preserve">- не подлежит установлению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4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Условно разрешенные виды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76"/>
              <w:numPr>
                <w:ilvl w:val="0"/>
                <w:numId w:val="3"/>
              </w:numPr>
              <w:ind w:left="247" w:right="0" w:hanging="141"/>
              <w:jc w:val="both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объекты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дорожного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сервиса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4" w:type="dxa"/>
            <w:textDirection w:val="lrTb"/>
            <w:noWrap w:val="false"/>
          </w:tcPr>
          <w:p>
            <w:pPr>
              <w:pStyle w:val="976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4.9.1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4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</w:tr>
    </w:tbl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rFonts w:eastAsia="Times New Roman"/>
          <w:sz w:val="24"/>
          <w:highlight w:val="none"/>
        </w:rPr>
      </w:r>
      <w:r>
        <w:rPr>
          <w:sz w:val="24"/>
          <w:szCs w:val="24"/>
        </w:rPr>
        <w:t xml:space="preserve">                                                                  »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680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character" w:styleId="909">
    <w:name w:val="footnote reference"/>
    <w:basedOn w:val="944"/>
    <w:uiPriority w:val="99"/>
    <w:unhideWhenUsed/>
    <w:rPr>
      <w:vertAlign w:val="superscript"/>
    </w:rPr>
  </w:style>
  <w:style w:type="character" w:styleId="910">
    <w:name w:val="endnote reference"/>
    <w:basedOn w:val="944"/>
    <w:uiPriority w:val="99"/>
    <w:semiHidden/>
    <w:unhideWhenUsed/>
    <w:rPr>
      <w:vertAlign w:val="superscript"/>
    </w:rPr>
  </w:style>
  <w:style w:type="paragraph" w:styleId="91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12">
    <w:name w:val="Heading 1"/>
    <w:basedOn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13">
    <w:name w:val="Heading 2"/>
    <w:basedOn w:val="9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4">
    <w:name w:val="Heading 3"/>
    <w:basedOn w:val="9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5">
    <w:name w:val="Heading 4"/>
    <w:basedOn w:val="9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6">
    <w:name w:val="Heading 5"/>
    <w:basedOn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7">
    <w:name w:val="Heading 6"/>
    <w:basedOn w:val="9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8">
    <w:name w:val="Heading 7"/>
    <w:basedOn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9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0">
    <w:name w:val="Heading 9"/>
    <w:basedOn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1">
    <w:name w:val="Heading 1 Char"/>
    <w:basedOn w:val="944"/>
    <w:uiPriority w:val="9"/>
    <w:qFormat/>
    <w:rPr>
      <w:rFonts w:ascii="Arial" w:hAnsi="Arial" w:eastAsia="Arial" w:cs="Arial"/>
      <w:sz w:val="40"/>
      <w:szCs w:val="40"/>
    </w:rPr>
  </w:style>
  <w:style w:type="character" w:styleId="922">
    <w:name w:val="Heading 2 Char"/>
    <w:basedOn w:val="944"/>
    <w:uiPriority w:val="9"/>
    <w:qFormat/>
    <w:rPr>
      <w:rFonts w:ascii="Arial" w:hAnsi="Arial" w:eastAsia="Arial" w:cs="Arial"/>
      <w:sz w:val="34"/>
    </w:rPr>
  </w:style>
  <w:style w:type="character" w:styleId="923">
    <w:name w:val="Heading 3 Char"/>
    <w:basedOn w:val="944"/>
    <w:uiPriority w:val="9"/>
    <w:qFormat/>
    <w:rPr>
      <w:rFonts w:ascii="Arial" w:hAnsi="Arial" w:eastAsia="Arial" w:cs="Arial"/>
      <w:sz w:val="30"/>
      <w:szCs w:val="30"/>
    </w:rPr>
  </w:style>
  <w:style w:type="character" w:styleId="924">
    <w:name w:val="Heading 4 Char"/>
    <w:basedOn w:val="9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5">
    <w:name w:val="Heading 5 Char"/>
    <w:basedOn w:val="9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6">
    <w:name w:val="Heading 6 Char"/>
    <w:basedOn w:val="9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7">
    <w:name w:val="Heading 7 Char"/>
    <w:basedOn w:val="9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8">
    <w:name w:val="Heading 8 Char"/>
    <w:basedOn w:val="9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9">
    <w:name w:val="Heading 9 Char"/>
    <w:basedOn w:val="9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0">
    <w:name w:val="Title Char"/>
    <w:basedOn w:val="944"/>
    <w:uiPriority w:val="10"/>
    <w:qFormat/>
    <w:rPr>
      <w:sz w:val="48"/>
      <w:szCs w:val="48"/>
    </w:rPr>
  </w:style>
  <w:style w:type="character" w:styleId="931">
    <w:name w:val="Subtitle Char"/>
    <w:basedOn w:val="944"/>
    <w:uiPriority w:val="11"/>
    <w:qFormat/>
    <w:rPr>
      <w:sz w:val="24"/>
      <w:szCs w:val="24"/>
    </w:rPr>
  </w:style>
  <w:style w:type="character" w:styleId="932">
    <w:name w:val="Quote Char"/>
    <w:uiPriority w:val="29"/>
    <w:qFormat/>
    <w:rPr>
      <w:i/>
    </w:rPr>
  </w:style>
  <w:style w:type="character" w:styleId="933">
    <w:name w:val="Intense Quote Char"/>
    <w:uiPriority w:val="30"/>
    <w:qFormat/>
    <w:rPr>
      <w:i/>
    </w:rPr>
  </w:style>
  <w:style w:type="character" w:styleId="934">
    <w:name w:val="Header Char"/>
    <w:basedOn w:val="944"/>
    <w:uiPriority w:val="99"/>
    <w:qFormat/>
  </w:style>
  <w:style w:type="character" w:styleId="935">
    <w:name w:val="Footer Char"/>
    <w:basedOn w:val="944"/>
    <w:uiPriority w:val="99"/>
    <w:qFormat/>
  </w:style>
  <w:style w:type="character" w:styleId="936">
    <w:name w:val="Caption Char"/>
    <w:uiPriority w:val="99"/>
    <w:qFormat/>
  </w:style>
  <w:style w:type="character" w:styleId="937">
    <w:name w:val="Интернет-ссылка"/>
    <w:uiPriority w:val="99"/>
    <w:unhideWhenUsed/>
    <w:rPr>
      <w:color w:val="0000ff" w:themeColor="hyperlink"/>
      <w:u w:val="single"/>
    </w:rPr>
  </w:style>
  <w:style w:type="character" w:styleId="938">
    <w:name w:val="Footnote Text Char"/>
    <w:uiPriority w:val="99"/>
    <w:qFormat/>
    <w:rPr>
      <w:sz w:val="18"/>
    </w:rPr>
  </w:style>
  <w:style w:type="character" w:styleId="939">
    <w:name w:val="Привязка сноски"/>
    <w:rPr>
      <w:vertAlign w:val="superscript"/>
    </w:rPr>
  </w:style>
  <w:style w:type="character" w:styleId="940">
    <w:name w:val="Footnote Characters"/>
    <w:uiPriority w:val="99"/>
    <w:unhideWhenUsed/>
    <w:qFormat/>
    <w:rPr>
      <w:vertAlign w:val="superscript"/>
    </w:rPr>
  </w:style>
  <w:style w:type="character" w:styleId="941">
    <w:name w:val="Endnote Text Char"/>
    <w:uiPriority w:val="99"/>
    <w:qFormat/>
    <w:rPr>
      <w:sz w:val="20"/>
    </w:rPr>
  </w:style>
  <w:style w:type="character" w:styleId="942">
    <w:name w:val="Привязка концевой сноски"/>
    <w:rPr>
      <w:vertAlign w:val="superscript"/>
    </w:rPr>
  </w:style>
  <w:style w:type="character" w:styleId="943">
    <w:name w:val="Endnote Characters"/>
    <w:uiPriority w:val="99"/>
    <w:semiHidden/>
    <w:unhideWhenUsed/>
    <w:qFormat/>
    <w:rPr>
      <w:vertAlign w:val="superscript"/>
    </w:rPr>
  </w:style>
  <w:style w:type="character" w:styleId="944" w:default="1">
    <w:name w:val="Default Paragraph Font"/>
    <w:uiPriority w:val="1"/>
    <w:semiHidden/>
    <w:unhideWhenUsed/>
    <w:qFormat/>
  </w:style>
  <w:style w:type="character" w:styleId="945" w:customStyle="1">
    <w:name w:val="match"/>
    <w:qFormat/>
  </w:style>
  <w:style w:type="character" w:styleId="946" w:customStyle="1">
    <w:name w:val="Текст выноски Знак"/>
    <w:basedOn w:val="94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47">
    <w:name w:val="Заголовок"/>
    <w:basedOn w:val="911"/>
    <w:next w:val="94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48">
    <w:name w:val="Body Text"/>
    <w:basedOn w:val="911"/>
    <w:pPr>
      <w:spacing w:before="0" w:after="140" w:line="276" w:lineRule="auto"/>
    </w:pPr>
  </w:style>
  <w:style w:type="paragraph" w:styleId="949">
    <w:name w:val="List"/>
    <w:basedOn w:val="948"/>
    <w:rPr>
      <w:rFonts w:ascii="Times New Roman" w:hAnsi="Times New Roman" w:cs="Arial"/>
    </w:rPr>
  </w:style>
  <w:style w:type="paragraph" w:styleId="950">
    <w:name w:val="Caption"/>
    <w:basedOn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51">
    <w:name w:val="Указатель"/>
    <w:basedOn w:val="911"/>
    <w:qFormat/>
    <w:pPr>
      <w:suppressLineNumbers/>
    </w:pPr>
    <w:rPr>
      <w:rFonts w:ascii="Times New Roman" w:hAnsi="Times New Roman" w:cs="Arial"/>
    </w:rPr>
  </w:style>
  <w:style w:type="paragraph" w:styleId="952">
    <w:name w:val="table of figures"/>
    <w:basedOn w:val="911"/>
    <w:uiPriority w:val="99"/>
    <w:unhideWhenUsed/>
    <w:qFormat/>
    <w:pPr>
      <w:spacing w:before="0" w:after="0" w:afterAutospacing="0"/>
    </w:pPr>
  </w:style>
  <w:style w:type="paragraph" w:styleId="953">
    <w:name w:val="List Paragraph"/>
    <w:basedOn w:val="911"/>
    <w:uiPriority w:val="34"/>
    <w:qFormat/>
    <w:pPr>
      <w:contextualSpacing/>
      <w:ind w:left="720" w:firstLine="0"/>
      <w:spacing w:before="0" w:after="160"/>
    </w:pPr>
  </w:style>
  <w:style w:type="paragraph" w:styleId="95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55">
    <w:name w:val="Title"/>
    <w:basedOn w:val="9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56">
    <w:name w:val="Subtitle"/>
    <w:basedOn w:val="911"/>
    <w:uiPriority w:val="11"/>
    <w:qFormat/>
    <w:pPr>
      <w:spacing w:before="200" w:after="200"/>
    </w:pPr>
    <w:rPr>
      <w:sz w:val="24"/>
      <w:szCs w:val="24"/>
    </w:rPr>
  </w:style>
  <w:style w:type="paragraph" w:styleId="957">
    <w:name w:val="Quote"/>
    <w:basedOn w:val="911"/>
    <w:uiPriority w:val="29"/>
    <w:qFormat/>
    <w:pPr>
      <w:ind w:left="720" w:right="720" w:firstLine="0"/>
    </w:pPr>
    <w:rPr>
      <w:i/>
    </w:rPr>
  </w:style>
  <w:style w:type="paragraph" w:styleId="958">
    <w:name w:val="Intense Quote"/>
    <w:basedOn w:val="91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>
    <w:name w:val="Верхний и нижний колонтитулы"/>
    <w:basedOn w:val="911"/>
    <w:qFormat/>
  </w:style>
  <w:style w:type="paragraph" w:styleId="960">
    <w:name w:val="Head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1">
    <w:name w:val="Foot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2">
    <w:name w:val="footnote text"/>
    <w:basedOn w:val="91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3">
    <w:name w:val="endnote text"/>
    <w:basedOn w:val="9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64">
    <w:name w:val="toc 1"/>
    <w:basedOn w:val="911"/>
    <w:uiPriority w:val="39"/>
    <w:unhideWhenUsed/>
    <w:pPr>
      <w:ind w:left="0" w:right="0" w:firstLine="0"/>
      <w:spacing w:before="0" w:after="57"/>
    </w:pPr>
  </w:style>
  <w:style w:type="paragraph" w:styleId="965">
    <w:name w:val="toc 2"/>
    <w:basedOn w:val="911"/>
    <w:uiPriority w:val="39"/>
    <w:unhideWhenUsed/>
    <w:pPr>
      <w:ind w:left="283" w:right="0" w:firstLine="0"/>
      <w:spacing w:before="0" w:after="57"/>
    </w:pPr>
  </w:style>
  <w:style w:type="paragraph" w:styleId="966">
    <w:name w:val="toc 3"/>
    <w:basedOn w:val="911"/>
    <w:uiPriority w:val="39"/>
    <w:unhideWhenUsed/>
    <w:pPr>
      <w:ind w:left="567" w:right="0" w:firstLine="0"/>
      <w:spacing w:before="0" w:after="57"/>
    </w:pPr>
  </w:style>
  <w:style w:type="paragraph" w:styleId="967">
    <w:name w:val="toc 4"/>
    <w:basedOn w:val="911"/>
    <w:uiPriority w:val="39"/>
    <w:unhideWhenUsed/>
    <w:pPr>
      <w:ind w:left="850" w:right="0" w:firstLine="0"/>
      <w:spacing w:before="0" w:after="57"/>
    </w:pPr>
  </w:style>
  <w:style w:type="paragraph" w:styleId="968">
    <w:name w:val="toc 5"/>
    <w:basedOn w:val="911"/>
    <w:uiPriority w:val="39"/>
    <w:unhideWhenUsed/>
    <w:pPr>
      <w:ind w:left="1134" w:right="0" w:firstLine="0"/>
      <w:spacing w:before="0" w:after="57"/>
    </w:pPr>
  </w:style>
  <w:style w:type="paragraph" w:styleId="969">
    <w:name w:val="toc 6"/>
    <w:basedOn w:val="911"/>
    <w:uiPriority w:val="39"/>
    <w:unhideWhenUsed/>
    <w:pPr>
      <w:ind w:left="1417" w:right="0" w:firstLine="0"/>
      <w:spacing w:before="0" w:after="57"/>
    </w:pPr>
  </w:style>
  <w:style w:type="paragraph" w:styleId="970">
    <w:name w:val="toc 7"/>
    <w:basedOn w:val="911"/>
    <w:uiPriority w:val="39"/>
    <w:unhideWhenUsed/>
    <w:pPr>
      <w:ind w:left="1701" w:right="0" w:firstLine="0"/>
      <w:spacing w:before="0" w:after="57"/>
    </w:pPr>
  </w:style>
  <w:style w:type="paragraph" w:styleId="971">
    <w:name w:val="toc 8"/>
    <w:basedOn w:val="911"/>
    <w:uiPriority w:val="39"/>
    <w:unhideWhenUsed/>
    <w:pPr>
      <w:ind w:left="1984" w:right="0" w:firstLine="0"/>
      <w:spacing w:before="0" w:after="57"/>
    </w:pPr>
  </w:style>
  <w:style w:type="paragraph" w:styleId="972">
    <w:name w:val="toc 9"/>
    <w:basedOn w:val="911"/>
    <w:uiPriority w:val="39"/>
    <w:unhideWhenUsed/>
    <w:pPr>
      <w:ind w:left="2268" w:right="0" w:firstLine="0"/>
      <w:spacing w:before="0" w:after="57"/>
    </w:pPr>
  </w:style>
  <w:style w:type="paragraph" w:styleId="97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4" w:customStyle="1">
    <w:name w:val="Main"/>
    <w:basedOn w:val="911"/>
    <w:qFormat/>
    <w:rPr>
      <w:sz w:val="28"/>
      <w:szCs w:val="28"/>
    </w:rPr>
  </w:style>
  <w:style w:type="paragraph" w:styleId="975">
    <w:name w:val="Balloon Text"/>
    <w:basedOn w:val="91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7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7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7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7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980">
    <w:name w:val="Содержимое врезки"/>
    <w:basedOn w:val="911"/>
    <w:qFormat/>
  </w:style>
  <w:style w:type="numbering" w:styleId="981" w:default="1">
    <w:name w:val="No List"/>
    <w:uiPriority w:val="99"/>
    <w:semiHidden/>
    <w:unhideWhenUsed/>
    <w:qFormat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30</cp:revision>
  <dcterms:created xsi:type="dcterms:W3CDTF">2025-01-21T06:08:00Z</dcterms:created>
  <dcterms:modified xsi:type="dcterms:W3CDTF">2025-04-04T13:06:23Z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