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5</w:t>
      </w:r>
      <w:r>
        <w:rPr>
          <w:sz w:val="24"/>
        </w:rPr>
      </w:r>
      <w:r>
        <w:rPr>
          <w:sz w:val="24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szCs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70" w:type="dxa"/>
        <w:tblInd w:w="-2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</w: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</w:p>
          <w:p>
            <w:pP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79360" behindDoc="1" locked="0" layoutInCell="1" allowOverlap="1">
                      <wp:simplePos x="0" y="0"/>
                      <wp:positionH relativeFrom="page">
                        <wp:posOffset>2493461</wp:posOffset>
                      </wp:positionH>
                      <wp:positionV relativeFrom="page">
                        <wp:posOffset>283101</wp:posOffset>
                      </wp:positionV>
                      <wp:extent cx="665109" cy="365406"/>
                      <wp:effectExtent l="0" t="0" r="0" b="0"/>
                      <wp:wrapNone/>
                      <wp:docPr id="1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9137319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65109" cy="3654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79360;o:allowoverlap:true;o:allowincell:true;mso-position-horizontal-relative:page;margin-left:196.34pt;mso-position-horizontal:absolute;mso-position-vertical-relative:page;margin-top:22.29pt;mso-position-vertical:absolute;width:52.37pt;height:28.77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79360" behindDoc="1" locked="0" layoutInCell="1" allowOverlap="1">
                      <wp:simplePos x="0" y="0"/>
                      <wp:positionH relativeFrom="page">
                        <wp:posOffset>77159</wp:posOffset>
                      </wp:positionH>
                      <wp:positionV relativeFrom="page">
                        <wp:posOffset>283715</wp:posOffset>
                      </wp:positionV>
                      <wp:extent cx="665109" cy="335184"/>
                      <wp:effectExtent l="0" t="0" r="0" b="0"/>
                      <wp:wrapNone/>
                      <wp:docPr id="2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2598015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65109" cy="3351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483279360;o:allowoverlap:true;o:allowincell:true;mso-position-horizontal-relative:page;margin-left:6.08pt;mso-position-horizontal:absolute;mso-position-vertical-relative:page;margin-top:22.34pt;mso-position-vertical:absolute;width:52.37pt;height:26.39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483283456" behindDoc="0" locked="0" layoutInCell="1" allowOverlap="1">
                      <wp:simplePos x="0" y="0"/>
                      <wp:positionH relativeFrom="column">
                        <wp:posOffset>2424881</wp:posOffset>
                      </wp:positionH>
                      <wp:positionV relativeFrom="paragraph">
                        <wp:posOffset>100306</wp:posOffset>
                      </wp:positionV>
                      <wp:extent cx="665109" cy="351510"/>
                      <wp:effectExtent l="6349" t="6349" r="6349" b="6349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665109" cy="351510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483283456;o:allowoverlap:true;o:allowincell:true;mso-position-horizontal-relative:text;margin-left:190.94pt;mso-position-horizontal:absolute;mso-position-vertical-relative:text;margin-top:7.90pt;mso-position-vertical:absolute;width:52.37pt;height:27.68pt;mso-wrap-distance-left:9.07pt;mso-wrap-distance-top:0.00pt;mso-wrap-distance-right:9.07pt;mso-wrap-distance-bottom:0.00pt;visibility:visible;" filled="f" strokecolor="#000000" strokeweight="1.00pt">
                      <v:stroke dashstyle="longdash"/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  <w:t xml:space="preserve">          </w: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</w:p>
          <w:p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  <w:t xml:space="preserve">     </w: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  <w:t xml:space="preserve">П 1        </w:t>
            </w:r>
            <w:r>
              <w:rPr>
                <w:sz w:val="24"/>
              </w:rPr>
              <w:t xml:space="preserve">существующая</w: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  <w:t xml:space="preserve">                                          </w:t>
            </w:r>
            <w:r>
              <w:rPr>
                <w:sz w:val="24"/>
              </w:rPr>
              <w:t xml:space="preserve">планируемая</w:t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lang w:val="ru-RU" w:eastAsia="en-US" w:bidi="en-US"/>
              </w:rPr>
            </w:r>
          </w:p>
        </w:tc>
      </w:tr>
      <w:tr>
        <w:tblPrEx/>
        <w:trPr>
          <w:trHeight w:val="7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t xml:space="preserve">Зона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производственная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Код по 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классифи</w:t>
            </w:r>
            <w:r>
              <w:rPr>
                <w:rFonts w:eastAsia="Times New Roman"/>
                <w:bCs/>
                <w:sz w:val="24"/>
              </w:rPr>
              <w:t xml:space="preserve">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ind w:left="108"/>
              <w:spacing w:line="256" w:lineRule="exact"/>
              <w:tabs>
                <w:tab w:val="left" w:pos="552" w:leader="none"/>
                <w:tab w:val="left" w:pos="1862" w:leader="none"/>
                <w:tab w:val="left" w:pos="2354" w:leader="none"/>
                <w:tab w:val="left" w:pos="397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 xml:space="preserve">хранение</w:t>
              <w:tab/>
              <w:t xml:space="preserve">и</w:t>
              <w:tab/>
              <w:t xml:space="preserve">переработка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76"/>
              <w:ind w:left="108"/>
              <w:spacing w:line="256" w:lineRule="exact"/>
              <w:tabs>
                <w:tab w:val="left" w:pos="552" w:leader="none"/>
                <w:tab w:val="left" w:pos="1862" w:leader="none"/>
                <w:tab w:val="left" w:pos="2354" w:leader="none"/>
                <w:tab w:val="left" w:pos="3974" w:leader="none"/>
              </w:tabs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</w:rPr>
              <w:t xml:space="preserve">сельскохозяйственной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продукции;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108"/>
              <w:spacing w:line="256" w:lineRule="exact"/>
              <w:tabs>
                <w:tab w:val="left" w:pos="552" w:leader="none"/>
                <w:tab w:val="left" w:pos="1862" w:leader="none"/>
                <w:tab w:val="left" w:pos="2354" w:leader="none"/>
                <w:tab w:val="left" w:pos="3974" w:leader="none"/>
              </w:tabs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недропользование;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автомобилестроительная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склад;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08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6"/>
              <w:ind w:left="0"/>
              <w:spacing w:line="253" w:lineRule="exact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     1.15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76"/>
              <w:ind w:left="0"/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76"/>
              <w:ind w:left="367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</w:rPr>
              <w:t xml:space="preserve">6.0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3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right="37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6.2.1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6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7.0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4"/>
              <w:ind w:left="0" w:firstLine="0"/>
              <w:jc w:val="left"/>
              <w:spacing w:line="283" w:lineRule="atLeast"/>
              <w:widowControl w:val="off"/>
              <w:rPr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- земельные участки (территории) общего пользования</w:t>
            </w:r>
            <w:r>
              <w:rPr>
                <w:szCs w:val="24"/>
                <w14:ligatures w14:val="none"/>
              </w:rPr>
            </w:r>
            <w:r>
              <w:rPr>
                <w:szCs w:val="24"/>
                <w14:ligatures w14:val="none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12.0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4"/>
              <w:ind w:left="0" w:firstLine="0"/>
              <w:jc w:val="left"/>
              <w:spacing w:line="283" w:lineRule="atLeas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- служебные гаражи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4.9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977"/>
        <w:ind w:left="-567" w:right="0" w:firstLine="0"/>
        <w:jc w:val="left"/>
        <w:rPr>
          <w:b/>
        </w:rPr>
      </w:pPr>
      <w:r>
        <w:rPr>
          <w:b/>
        </w:rPr>
      </w:r>
      <w:r>
        <w:rPr>
          <w:b/>
        </w:rPr>
        <w:t xml:space="preserve">                                                                                                                                                                       »</w:t>
      </w:r>
      <w:r>
        <w:rPr>
          <w:b/>
        </w:rPr>
      </w:r>
      <w:r>
        <w:rPr>
          <w:b/>
        </w:rPr>
      </w:r>
    </w:p>
    <w:p>
      <w:pPr>
        <w:pStyle w:val="911"/>
        <w:ind w:left="-567" w:right="0"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28</cp:revision>
  <dcterms:created xsi:type="dcterms:W3CDTF">2025-01-21T06:08:00Z</dcterms:created>
  <dcterms:modified xsi:type="dcterms:W3CDTF">2025-04-04T13:08:15Z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