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20" w:rsidRDefault="00030E58">
      <w:pPr>
        <w:keepNext/>
        <w:spacing w:before="0" w:after="0"/>
        <w:ind w:left="5670"/>
        <w:jc w:val="left"/>
      </w:pPr>
      <w:r>
        <w:t>Утвержден</w:t>
      </w:r>
    </w:p>
    <w:p w:rsidR="00F42F20" w:rsidRDefault="00030E58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F42F20" w:rsidRDefault="00030E58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F42F20" w:rsidRDefault="00030E58">
      <w:pPr>
        <w:keepNext/>
        <w:spacing w:before="0" w:after="0"/>
        <w:ind w:left="5670"/>
        <w:jc w:val="left"/>
      </w:pPr>
      <w:r>
        <w:t>Рязанской области</w:t>
      </w:r>
    </w:p>
    <w:p w:rsidR="00F42F20" w:rsidRDefault="00E734EC">
      <w:pPr>
        <w:keepNext/>
        <w:tabs>
          <w:tab w:val="left" w:pos="5100"/>
        </w:tabs>
        <w:spacing w:before="0" w:after="0"/>
        <w:ind w:left="5670"/>
        <w:jc w:val="left"/>
      </w:pPr>
      <w:r>
        <w:t>от 26 мая 2025 г.</w:t>
      </w:r>
      <w:r w:rsidR="00030E58">
        <w:t xml:space="preserve"> №</w:t>
      </w:r>
      <w:r>
        <w:t xml:space="preserve"> 414-п</w:t>
      </w:r>
      <w:bookmarkStart w:id="0" w:name="_GoBack"/>
      <w:bookmarkEnd w:id="0"/>
    </w:p>
    <w:p w:rsidR="00F42F20" w:rsidRDefault="00F42F20">
      <w:pPr>
        <w:pStyle w:val="ae"/>
        <w:spacing w:after="6"/>
        <w:ind w:firstLine="0"/>
        <w:jc w:val="center"/>
        <w:rPr>
          <w:sz w:val="32"/>
          <w:szCs w:val="32"/>
        </w:rPr>
      </w:pPr>
    </w:p>
    <w:p w:rsidR="00F42F20" w:rsidRDefault="00F42F20">
      <w:pPr>
        <w:pStyle w:val="ae"/>
        <w:spacing w:after="6"/>
        <w:ind w:firstLine="0"/>
        <w:jc w:val="center"/>
        <w:rPr>
          <w:sz w:val="32"/>
          <w:szCs w:val="32"/>
        </w:rPr>
      </w:pPr>
    </w:p>
    <w:p w:rsidR="00F42F20" w:rsidRDefault="00F42F20">
      <w:pPr>
        <w:pStyle w:val="ae"/>
        <w:spacing w:after="6"/>
        <w:ind w:firstLine="0"/>
        <w:jc w:val="center"/>
        <w:rPr>
          <w:sz w:val="32"/>
          <w:szCs w:val="32"/>
        </w:rPr>
      </w:pPr>
    </w:p>
    <w:p w:rsidR="00F42F20" w:rsidRDefault="00F42F20">
      <w:pPr>
        <w:pStyle w:val="ae"/>
        <w:spacing w:after="6"/>
        <w:ind w:firstLine="0"/>
        <w:jc w:val="center"/>
        <w:rPr>
          <w:sz w:val="32"/>
          <w:szCs w:val="32"/>
        </w:rPr>
      </w:pPr>
    </w:p>
    <w:p w:rsidR="00F42F20" w:rsidRDefault="00F42F20">
      <w:pPr>
        <w:pStyle w:val="ae"/>
        <w:spacing w:after="6"/>
        <w:ind w:firstLine="0"/>
        <w:jc w:val="center"/>
        <w:rPr>
          <w:sz w:val="32"/>
          <w:szCs w:val="32"/>
        </w:rPr>
      </w:pPr>
    </w:p>
    <w:p w:rsidR="00F42F20" w:rsidRDefault="00F42F20">
      <w:pPr>
        <w:pStyle w:val="ae"/>
        <w:spacing w:after="6"/>
        <w:ind w:firstLine="0"/>
        <w:jc w:val="center"/>
        <w:rPr>
          <w:sz w:val="32"/>
          <w:szCs w:val="32"/>
        </w:rPr>
      </w:pPr>
    </w:p>
    <w:p w:rsidR="00F42F20" w:rsidRDefault="00F42F20">
      <w:pPr>
        <w:pStyle w:val="ae"/>
        <w:spacing w:after="6"/>
        <w:ind w:firstLine="0"/>
        <w:jc w:val="center"/>
        <w:rPr>
          <w:sz w:val="32"/>
          <w:szCs w:val="32"/>
        </w:rPr>
      </w:pPr>
    </w:p>
    <w:p w:rsidR="00F42F20" w:rsidRDefault="00F42F20">
      <w:pPr>
        <w:pStyle w:val="ae"/>
        <w:spacing w:after="6"/>
        <w:ind w:firstLine="0"/>
        <w:jc w:val="center"/>
        <w:rPr>
          <w:sz w:val="32"/>
          <w:szCs w:val="32"/>
        </w:rPr>
      </w:pPr>
    </w:p>
    <w:p w:rsidR="00F42F20" w:rsidRDefault="00F42F20">
      <w:pPr>
        <w:pStyle w:val="ae"/>
        <w:spacing w:after="6"/>
        <w:ind w:firstLine="0"/>
        <w:jc w:val="center"/>
        <w:rPr>
          <w:sz w:val="32"/>
          <w:szCs w:val="32"/>
        </w:rPr>
      </w:pPr>
    </w:p>
    <w:p w:rsidR="00F42F20" w:rsidRDefault="00F42F20">
      <w:pPr>
        <w:pStyle w:val="ae"/>
        <w:spacing w:after="6"/>
        <w:ind w:firstLine="0"/>
        <w:jc w:val="center"/>
        <w:rPr>
          <w:sz w:val="32"/>
          <w:szCs w:val="32"/>
        </w:rPr>
      </w:pPr>
    </w:p>
    <w:p w:rsidR="00F42F20" w:rsidRDefault="00F42F20">
      <w:pPr>
        <w:pStyle w:val="ae"/>
        <w:spacing w:after="6"/>
        <w:ind w:firstLine="0"/>
        <w:jc w:val="center"/>
        <w:rPr>
          <w:sz w:val="32"/>
          <w:szCs w:val="32"/>
        </w:rPr>
      </w:pPr>
    </w:p>
    <w:p w:rsidR="00F42F20" w:rsidRDefault="00F42F20">
      <w:pPr>
        <w:pStyle w:val="ae"/>
        <w:spacing w:after="6"/>
        <w:ind w:firstLine="0"/>
        <w:jc w:val="center"/>
        <w:rPr>
          <w:sz w:val="32"/>
          <w:szCs w:val="32"/>
        </w:rPr>
      </w:pPr>
    </w:p>
    <w:p w:rsidR="00F42F20" w:rsidRDefault="00030E58">
      <w:pPr>
        <w:pStyle w:val="ae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F42F20" w:rsidRDefault="00030E58">
      <w:pPr>
        <w:pStyle w:val="ae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- </w:t>
      </w:r>
      <w:proofErr w:type="spellStart"/>
      <w:r>
        <w:rPr>
          <w:sz w:val="32"/>
          <w:szCs w:val="32"/>
        </w:rPr>
        <w:t>Желобовское</w:t>
      </w:r>
      <w:proofErr w:type="spellEnd"/>
      <w:r>
        <w:rPr>
          <w:sz w:val="32"/>
          <w:szCs w:val="32"/>
        </w:rPr>
        <w:t xml:space="preserve"> сельское поселение </w:t>
      </w:r>
      <w:proofErr w:type="spellStart"/>
      <w:r>
        <w:rPr>
          <w:sz w:val="32"/>
          <w:szCs w:val="32"/>
        </w:rPr>
        <w:t>Сараевского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F42F20" w:rsidRDefault="00030E58">
      <w:pPr>
        <w:pStyle w:val="ae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F42F20" w:rsidRDefault="00F42F20">
      <w:pPr>
        <w:pStyle w:val="ae"/>
        <w:spacing w:after="6"/>
        <w:ind w:firstLine="0"/>
        <w:jc w:val="center"/>
        <w:rPr>
          <w:sz w:val="32"/>
          <w:szCs w:val="32"/>
        </w:rPr>
      </w:pPr>
    </w:p>
    <w:p w:rsidR="00F42F20" w:rsidRDefault="00030E58">
      <w:pPr>
        <w:pStyle w:val="ae"/>
        <w:keepNext/>
        <w:spacing w:after="6"/>
        <w:ind w:firstLine="0"/>
        <w:jc w:val="center"/>
        <w:rPr>
          <w:sz w:val="32"/>
          <w:szCs w:val="32"/>
        </w:rPr>
        <w:sectPr w:rsidR="00F42F20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1134" w:left="1418" w:header="567" w:footer="567" w:gutter="0"/>
          <w:cols w:space="720"/>
          <w:formProt w:val="0"/>
          <w:docGrid w:linePitch="360"/>
        </w:sectPr>
      </w:pPr>
      <w:r>
        <w:rPr>
          <w:sz w:val="32"/>
          <w:szCs w:val="32"/>
        </w:rPr>
        <w:t>ПОЛОЖЕНИЕ О ТЕРРИТОРИАЛЬНОМ ПЛАНИРОВАНИИ</w:t>
      </w:r>
    </w:p>
    <w:p w:rsidR="00F42F20" w:rsidRDefault="00030E58">
      <w:pPr>
        <w:pStyle w:val="1"/>
        <w:numPr>
          <w:ilvl w:val="0"/>
          <w:numId w:val="1"/>
        </w:numPr>
        <w:ind w:firstLine="709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p w:rsidR="00F42F20" w:rsidRDefault="00F42F20">
      <w:pPr>
        <w:pStyle w:val="ae"/>
        <w:numPr>
          <w:ilvl w:val="0"/>
          <w:numId w:val="1"/>
        </w:numPr>
        <w:rPr>
          <w:color w:val="FF3838"/>
          <w:szCs w:val="28"/>
        </w:rPr>
      </w:pPr>
    </w:p>
    <w:p w:rsidR="00F42F20" w:rsidRDefault="00030E58">
      <w:pPr>
        <w:pStyle w:val="ae"/>
        <w:numPr>
          <w:ilvl w:val="0"/>
          <w:numId w:val="1"/>
        </w:numPr>
        <w:ind w:firstLine="737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 xml:space="preserve">На территории муниципального образования - </w:t>
      </w:r>
      <w:proofErr w:type="spellStart"/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Желобовское</w:t>
      </w:r>
      <w:proofErr w:type="spellEnd"/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 xml:space="preserve"> сельское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Сараевского</w:t>
      </w:r>
      <w:proofErr w:type="spellEnd"/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 xml:space="preserve"> муниципального района Рязанской области генеральным планом не планируется размещение объектов местного значения. </w:t>
      </w:r>
    </w:p>
    <w:p w:rsidR="00F42F20" w:rsidRDefault="00F42F20">
      <w:pPr>
        <w:pStyle w:val="ae"/>
        <w:numPr>
          <w:ilvl w:val="0"/>
          <w:numId w:val="1"/>
        </w:numPr>
        <w:ind w:firstLine="737"/>
        <w:rPr>
          <w:color w:val="C9211E"/>
          <w:szCs w:val="28"/>
        </w:rPr>
      </w:pPr>
    </w:p>
    <w:p w:rsidR="00F42F20" w:rsidRDefault="00030E58">
      <w:pPr>
        <w:pStyle w:val="1"/>
        <w:numPr>
          <w:ilvl w:val="0"/>
          <w:numId w:val="1"/>
        </w:numPr>
        <w:ind w:firstLine="709"/>
        <w:contextualSpacing/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F42F20" w:rsidRDefault="00F42F20">
      <w:pPr>
        <w:pStyle w:val="ae"/>
        <w:numPr>
          <w:ilvl w:val="0"/>
          <w:numId w:val="1"/>
        </w:numPr>
        <w:rPr>
          <w:szCs w:val="28"/>
        </w:rPr>
      </w:pPr>
    </w:p>
    <w:p w:rsidR="00F42F20" w:rsidRDefault="00030E58">
      <w:pPr>
        <w:pStyle w:val="ae"/>
        <w:numPr>
          <w:ilvl w:val="0"/>
          <w:numId w:val="1"/>
        </w:numPr>
        <w:ind w:firstLine="624"/>
      </w:pPr>
      <w:r>
        <w:rPr>
          <w:szCs w:val="28"/>
        </w:rPr>
        <w:t xml:space="preserve">При определении параметров функциональных зон муниципального образования </w:t>
      </w:r>
      <w:r>
        <w:rPr>
          <w:szCs w:val="28"/>
          <w:lang w:eastAsia="ar-SA"/>
        </w:rPr>
        <w:t>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Желобовское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Сараевского</w:t>
      </w:r>
      <w:proofErr w:type="spellEnd"/>
      <w:r>
        <w:rPr>
          <w:szCs w:val="28"/>
        </w:rPr>
        <w:t xml:space="preserve"> муниципального района Рязанской области учитывалось:</w:t>
      </w:r>
    </w:p>
    <w:p w:rsidR="00F42F20" w:rsidRDefault="00030E58">
      <w:pPr>
        <w:pStyle w:val="ae"/>
        <w:numPr>
          <w:ilvl w:val="0"/>
          <w:numId w:val="1"/>
        </w:numPr>
        <w:ind w:firstLine="624"/>
      </w:pPr>
      <w:r>
        <w:rPr>
          <w:szCs w:val="28"/>
        </w:rPr>
        <w:t>- сложившееся использование земельных участков;</w:t>
      </w:r>
    </w:p>
    <w:p w:rsidR="00F42F20" w:rsidRDefault="00030E58">
      <w:pPr>
        <w:pStyle w:val="ae"/>
        <w:numPr>
          <w:ilvl w:val="0"/>
          <w:numId w:val="1"/>
        </w:numPr>
        <w:ind w:firstLine="624"/>
      </w:pPr>
      <w:r>
        <w:rPr>
          <w:szCs w:val="28"/>
        </w:rPr>
        <w:t>- рациональные формы расселения населения;</w:t>
      </w:r>
    </w:p>
    <w:p w:rsidR="00F42F20" w:rsidRDefault="00030E58">
      <w:pPr>
        <w:pStyle w:val="ae"/>
        <w:numPr>
          <w:ilvl w:val="0"/>
          <w:numId w:val="1"/>
        </w:numPr>
        <w:ind w:firstLine="624"/>
      </w:pPr>
      <w:r>
        <w:rPr>
          <w:szCs w:val="28"/>
        </w:rPr>
        <w:t xml:space="preserve">- оптимальные варианты сочетания в пределах функциональных </w:t>
      </w:r>
      <w:r>
        <w:t>зон  объектов различного функционального назначения;</w:t>
      </w:r>
    </w:p>
    <w:p w:rsidR="00F42F20" w:rsidRDefault="00030E58">
      <w:pPr>
        <w:pStyle w:val="ae"/>
        <w:numPr>
          <w:ilvl w:val="0"/>
          <w:numId w:val="1"/>
        </w:numPr>
        <w:ind w:firstLine="624"/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F42F20" w:rsidRDefault="00030E58">
      <w:pPr>
        <w:pStyle w:val="ae"/>
        <w:numPr>
          <w:ilvl w:val="0"/>
          <w:numId w:val="1"/>
        </w:numPr>
        <w:ind w:firstLine="624"/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F42F20" w:rsidRDefault="00030E58">
      <w:pPr>
        <w:pStyle w:val="ae"/>
        <w:numPr>
          <w:ilvl w:val="0"/>
          <w:numId w:val="1"/>
        </w:numPr>
        <w:ind w:firstLine="709"/>
        <w:contextualSpacing/>
      </w:pPr>
      <w:r>
        <w:rPr>
          <w:rStyle w:val="20"/>
          <w:iCs/>
          <w:spacing w:val="5"/>
          <w:szCs w:val="28"/>
        </w:rPr>
        <w:t xml:space="preserve">В результате функционального зонирования муниципального образования - </w:t>
      </w:r>
      <w:proofErr w:type="spellStart"/>
      <w:r>
        <w:rPr>
          <w:rStyle w:val="20"/>
          <w:iCs/>
          <w:spacing w:val="5"/>
          <w:szCs w:val="28"/>
        </w:rPr>
        <w:t>Желобовское</w:t>
      </w:r>
      <w:proofErr w:type="spellEnd"/>
      <w:r>
        <w:rPr>
          <w:rStyle w:val="20"/>
          <w:iCs/>
          <w:spacing w:val="5"/>
          <w:szCs w:val="28"/>
        </w:rPr>
        <w:t xml:space="preserve"> сельское поселение </w:t>
      </w:r>
      <w:proofErr w:type="spellStart"/>
      <w:r>
        <w:rPr>
          <w:rStyle w:val="20"/>
          <w:iCs/>
          <w:spacing w:val="5"/>
          <w:szCs w:val="28"/>
        </w:rPr>
        <w:t>Сараевского</w:t>
      </w:r>
      <w:proofErr w:type="spellEnd"/>
      <w:r>
        <w:rPr>
          <w:rStyle w:val="20"/>
          <w:iCs/>
          <w:spacing w:val="5"/>
          <w:szCs w:val="28"/>
        </w:rPr>
        <w:t xml:space="preserve"> муниципального района Рязанской области установлены функциональные зоны, представленные в таблице 2.1.</w:t>
      </w:r>
    </w:p>
    <w:p w:rsidR="00F42F20" w:rsidRDefault="00030E58">
      <w:pPr>
        <w:pStyle w:val="ae"/>
        <w:jc w:val="right"/>
      </w:pPr>
      <w:r>
        <w:t>Таблица 2.1</w:t>
      </w:r>
    </w:p>
    <w:tbl>
      <w:tblPr>
        <w:tblW w:w="993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2837"/>
        <w:gridCol w:w="4547"/>
      </w:tblGrid>
      <w:tr w:rsidR="00F42F20">
        <w:trPr>
          <w:trHeight w:val="454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</w:pPr>
            <w:r>
              <w:t>№</w:t>
            </w:r>
          </w:p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</w:pPr>
            <w:r>
              <w:t>Обозначение</w:t>
            </w:r>
          </w:p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</w:pPr>
            <w:r>
              <w:t>функциональной</w:t>
            </w:r>
          </w:p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</w:pPr>
            <w:r>
              <w:t>зоны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</w:pPr>
            <w:r>
              <w:t>Наименование</w:t>
            </w:r>
          </w:p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</w:pPr>
            <w:r>
              <w:t>функциональной</w:t>
            </w:r>
          </w:p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</w:pPr>
            <w:r>
              <w:t>зоны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</w:pPr>
            <w:r>
              <w:t>Назначение</w:t>
            </w:r>
          </w:p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</w:pPr>
            <w:r>
              <w:t>функциональной зоны</w:t>
            </w:r>
          </w:p>
        </w:tc>
      </w:tr>
      <w:tr w:rsidR="00F42F20" w:rsidTr="00FE3EED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269AB9B2" wp14:editId="18D29FB5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2955" cy="386715"/>
                      <wp:effectExtent l="0" t="0" r="0" b="0"/>
                      <wp:wrapSquare wrapText="bothSides"/>
                      <wp:docPr id="1" name="Врезка13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280" cy="385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3" fillcolor="#ff6450" stroked="t" style="position:absolute;margin-left:18.45pt;margin-top:3.95pt;width:61.55pt;height:30.35pt;v-text-anchor:middle">
                      <w10:wrap type="none"/>
                      <v:fill o:detectmouseclick="t" type="solid" color2="#009ba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6345A583" wp14:editId="01EB8CBA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2320" cy="386080"/>
                      <wp:effectExtent l="0" t="0" r="0" b="0"/>
                      <wp:wrapNone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60" cy="385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stroked="f" style="position:absolute;margin-left:18.45pt;margin-top:3.95pt;width:61.5pt;height:30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  <w:spacing w:before="57" w:after="57"/>
            </w:pPr>
            <w:r>
              <w:t>Жилые зоны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e"/>
              <w:widowControl w:val="0"/>
              <w:numPr>
                <w:ilvl w:val="0"/>
                <w:numId w:val="2"/>
              </w:numPr>
              <w:suppressLineNumbers/>
              <w:ind w:left="57" w:right="-57"/>
              <w:jc w:val="left"/>
            </w:pPr>
            <w:r>
              <w:rPr>
                <w:rFonts w:eastAsia="XO Thames;Times New Roman"/>
                <w:sz w:val="24"/>
                <w:lang w:eastAsia="ar-SA"/>
              </w:rPr>
              <w:t xml:space="preserve">Жилые зоны </w:t>
            </w:r>
            <w:r>
              <w:rPr>
                <w:sz w:val="24"/>
                <w:lang w:eastAsia="ar-SA"/>
              </w:rPr>
              <w:t xml:space="preserve">предназначены для размещения преимущественно индивидуальных жилых домов с приусадебными земельными участками, малоэтажных жилых домов, блокированных жилых домов, </w:t>
            </w:r>
            <w:r>
              <w:rPr>
                <w:rFonts w:eastAsia="XO Thames;Times New Roman"/>
                <w:sz w:val="24"/>
                <w:lang w:eastAsia="ar-SA"/>
              </w:rPr>
              <w:t xml:space="preserve">а также отдельно стоящих, встроенных или пристроенных объектов социального, коммунального, общественного </w:t>
            </w:r>
            <w:r>
              <w:rPr>
                <w:rFonts w:eastAsia="XO Thames;Times New Roman"/>
                <w:sz w:val="24"/>
                <w:lang w:eastAsia="ar-SA"/>
              </w:rPr>
              <w:lastRenderedPageBreak/>
              <w:t>назначения, обеспечивающих потребности жителей.</w:t>
            </w:r>
          </w:p>
        </w:tc>
      </w:tr>
      <w:tr w:rsidR="00F42F20">
        <w:trPr>
          <w:trHeight w:val="88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7240" cy="381000"/>
                      <wp:effectExtent l="0" t="0" r="0" b="0"/>
                      <wp:wrapNone/>
                      <wp:docPr id="3" name="Врезка13_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6520" cy="38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0" fillcolor="#ca7af5" stroked="t" style="position:absolute;margin-left:18.45pt;margin-top:3.95pt;width:61.1pt;height:29.9pt;v-text-anchor:middle">
                      <w10:wrap type="none"/>
                      <v:fill o:detectmouseclick="t" type="solid" color2="#35850a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6605" cy="380365"/>
                      <wp:effectExtent l="0" t="0" r="0" b="0"/>
                      <wp:wrapNone/>
                      <wp:docPr id="4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800" cy="379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stroked="f" style="position:absolute;margin-left:18.45pt;margin-top:3.95pt;width:61.05pt;height:29.8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</w:pPr>
            <w:r>
              <w:t>Зона специализированной общественной застройки</w:t>
            </w:r>
          </w:p>
        </w:tc>
        <w:tc>
          <w:tcPr>
            <w:tcW w:w="4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e"/>
              <w:widowControl w:val="0"/>
              <w:numPr>
                <w:ilvl w:val="0"/>
                <w:numId w:val="2"/>
              </w:numPr>
              <w:suppressLineNumbers/>
              <w:ind w:left="57"/>
              <w:jc w:val="left"/>
            </w:pPr>
            <w:r>
              <w:rPr>
                <w:rStyle w:val="20"/>
                <w:sz w:val="24"/>
                <w:lang w:eastAsia="ar-SA"/>
              </w:rPr>
              <w:t>Зона специализированной общественной застройки предназначена для размещения объектов религиозного использования.</w:t>
            </w:r>
          </w:p>
        </w:tc>
      </w:tr>
      <w:tr w:rsidR="00F42F20">
        <w:trPr>
          <w:trHeight w:val="88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7875" cy="381635"/>
                      <wp:effectExtent l="0" t="0" r="0" b="0"/>
                      <wp:wrapNone/>
                      <wp:docPr id="5" name="Врезка13_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7240" cy="38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3" fillcolor="#636382" stroked="t" style="position:absolute;margin-left:18.45pt;margin-top:3.95pt;width:61.15pt;height:29.95pt;v-text-anchor:middle">
                      <w10:wrap type="none"/>
                      <v:fill o:detectmouseclick="t" type="solid" color2="#9c9c7d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7240" cy="381000"/>
                      <wp:effectExtent l="0" t="0" r="0" b="0"/>
                      <wp:wrapNone/>
                      <wp:docPr id="6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6520" cy="380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stroked="f" style="position:absolute;margin-left:18.45pt;margin-top:3.95pt;width:61.1pt;height:29.9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  <w:ind w:left="57"/>
            </w:pPr>
            <w:r>
              <w:t>Зона инженерной инфраструктуры</w:t>
            </w:r>
          </w:p>
        </w:tc>
        <w:tc>
          <w:tcPr>
            <w:tcW w:w="4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  <w:ind w:left="57"/>
              <w:jc w:val="left"/>
              <w:textAlignment w:val="baseline"/>
            </w:pPr>
            <w:r>
              <w:t>Зона инженерной инфраструктуры предназначена для размещения объектов коммунального обслуживания, связанных с обеспечением энергоснабжением, теплоснабжением, газоснабжением, водоснабжением, водоотведением, очисткой стоков, связи.</w:t>
            </w:r>
          </w:p>
        </w:tc>
      </w:tr>
      <w:tr w:rsidR="00F42F20">
        <w:trPr>
          <w:trHeight w:val="73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42F20" w:rsidRDefault="00FE3EED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0" allowOverlap="1" wp14:anchorId="21DDE4BF" wp14:editId="589D46B5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54610</wp:posOffset>
                      </wp:positionV>
                      <wp:extent cx="776605" cy="384175"/>
                      <wp:effectExtent l="0" t="0" r="4445" b="0"/>
                      <wp:wrapNone/>
                      <wp:docPr id="7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6605" cy="384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_0" o:spid="_x0000_s1026" style="position:absolute;margin-left:49.9pt;margin-top:4.3pt;width:61.15pt;height:30.2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" o:allowincell="f" fillcolor="#006a91" strokeweight=".26mm">
                      <v:stroke joinstyle="round"/>
                    </v:rect>
                  </w:pict>
                </mc:Fallback>
              </mc:AlternateContent>
            </w:r>
            <w:r w:rsidR="00030E58">
              <w:rPr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42F20" w:rsidRDefault="00F42F20">
            <w:pPr>
              <w:pStyle w:val="afa"/>
              <w:widowControl w:val="0"/>
            </w:pP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fa"/>
              <w:widowControl w:val="0"/>
              <w:ind w:left="57"/>
            </w:pPr>
            <w:r>
              <w:t>Зона транспортной инфраструктуры</w:t>
            </w:r>
          </w:p>
        </w:tc>
        <w:tc>
          <w:tcPr>
            <w:tcW w:w="4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e"/>
              <w:widowControl w:val="0"/>
              <w:numPr>
                <w:ilvl w:val="0"/>
                <w:numId w:val="2"/>
              </w:numPr>
              <w:suppressLineNumbers/>
              <w:ind w:left="57"/>
              <w:jc w:val="left"/>
              <w:rPr>
                <w:color w:val="C9211E"/>
                <w:sz w:val="24"/>
              </w:rPr>
            </w:pPr>
            <w:r>
              <w:rPr>
                <w:bCs/>
                <w:sz w:val="24"/>
              </w:rPr>
              <w:t xml:space="preserve">Зона транспортной инфраструктуры предназначена для размещения </w:t>
            </w:r>
            <w:r w:rsidRPr="00FE3EED">
              <w:rPr>
                <w:bCs/>
                <w:sz w:val="24"/>
              </w:rPr>
              <w:t>у</w:t>
            </w:r>
            <w:r>
              <w:rPr>
                <w:bCs/>
                <w:sz w:val="24"/>
              </w:rPr>
              <w:t>л</w:t>
            </w:r>
            <w:r w:rsidRPr="00FE3EED">
              <w:rPr>
                <w:bCs/>
                <w:sz w:val="24"/>
              </w:rPr>
              <w:t>и</w:t>
            </w:r>
            <w:r>
              <w:rPr>
                <w:bCs/>
                <w:sz w:val="24"/>
              </w:rPr>
              <w:t>чно-дорожной сети населенных пунктов.</w:t>
            </w:r>
          </w:p>
        </w:tc>
      </w:tr>
      <w:tr w:rsidR="00F42F20">
        <w:trPr>
          <w:trHeight w:val="7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2955" cy="386715"/>
                      <wp:effectExtent l="0" t="0" r="0" b="0"/>
                      <wp:wrapNone/>
                      <wp:docPr id="8" name="Врезка13_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280" cy="385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5" fillcolor="#ffffb6" stroked="t" style="position:absolute;margin-left:18.45pt;margin-top:3.95pt;width:61.55pt;height:30.35pt;v-text-anchor:middle">
                      <w10:wrap type="none"/>
                      <v:fill o:detectmouseclick="t" type="solid" color2="#000049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2320" cy="386080"/>
                      <wp:effectExtent l="0" t="0" r="0" b="0"/>
                      <wp:wrapNone/>
                      <wp:docPr id="9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60" cy="385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stroked="f" style="position:absolute;margin-left:18.45pt;margin-top:3.95pt;width:61.5pt;height:30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</w:pPr>
            <w:r>
              <w:t>Зоны сельскохозяйственного использования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Зоны сельскохозяйственного использования предназначены для земель, находящихся за границами населенного пункта и предоставленных для нужд сельского хозяйства, а также предназначенных для этих целей.</w:t>
            </w:r>
          </w:p>
        </w:tc>
      </w:tr>
      <w:tr w:rsidR="00F42F20">
        <w:trPr>
          <w:trHeight w:val="73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2955" cy="386715"/>
                      <wp:effectExtent l="0" t="0" r="0" b="0"/>
                      <wp:wrapNone/>
                      <wp:docPr id="10" name="Врезка13_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280" cy="385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7" fillcolor="#1c8f69" stroked="t" style="position:absolute;margin-left:18.45pt;margin-top:3.95pt;width:61.55pt;height:30.35pt;v-text-anchor:middle">
                      <w10:wrap type="none"/>
                      <v:fill o:detectmouseclick="t" type="solid" color2="#e37096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2320" cy="386080"/>
                      <wp:effectExtent l="0" t="0" r="0" b="0"/>
                      <wp:wrapNone/>
                      <wp:docPr id="11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60" cy="385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stroked="f" style="position:absolute;margin-left:18.45pt;margin-top:3.95pt;width:61.5pt;height:30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</w:pPr>
            <w:r>
              <w:rPr>
                <w:rStyle w:val="20"/>
              </w:rPr>
              <w:t>Зона лесов</w:t>
            </w:r>
          </w:p>
        </w:tc>
        <w:tc>
          <w:tcPr>
            <w:tcW w:w="4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0"/>
              </w:rPr>
              <w:t>Зона лесов предназначена для выращивания, рационального использования, охраны, защиты и воспроизводства лесов.</w:t>
            </w:r>
          </w:p>
        </w:tc>
      </w:tr>
      <w:tr w:rsidR="00F42F20">
        <w:trPr>
          <w:trHeight w:val="73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2320" cy="386080"/>
                      <wp:effectExtent l="0" t="0" r="0" b="0"/>
                      <wp:wrapNone/>
                      <wp:docPr id="12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60" cy="385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2" fillcolor="#69b366" stroked="t" style="position:absolute;margin-left:18.45pt;margin-top:3.95pt;width:61.5pt;height:30.3pt;v-text-anchor:middle">
                      <w10:wrap type="none"/>
                      <v:fill o:detectmouseclick="t" type="solid" color2="#964c99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1685" cy="385445"/>
                      <wp:effectExtent l="0" t="0" r="0" b="0"/>
                      <wp:wrapNone/>
                      <wp:docPr id="13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200" cy="384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stroked="f" style="position:absolute;margin-left:18.45pt;margin-top:3.95pt;width:61.45pt;height:30.2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</w:pPr>
            <w:r>
              <w:t>Зона озелененных территорий специального назначения</w:t>
            </w:r>
          </w:p>
        </w:tc>
        <w:tc>
          <w:tcPr>
            <w:tcW w:w="4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0"/>
                <w:lang w:eastAsia="ru-RU"/>
              </w:rPr>
              <w:t>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      </w:r>
          </w:p>
        </w:tc>
      </w:tr>
      <w:tr w:rsidR="00F42F20">
        <w:trPr>
          <w:trHeight w:val="1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48995" cy="436245"/>
                  <wp:effectExtent l="0" t="0" r="0" b="0"/>
                  <wp:docPr id="14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6389" t="-12429" r="-6389" b="-12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43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</w:pPr>
            <w:r>
              <w:t>Зона кладбищ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Зона кладбищ предназначена для размещения кладбищ, крематориев, мест захоронения, для которых необходима организация санитарно-защитной зоны в соответствии с требованиями технических регламентов, а также соответствующих культовых сооружений.</w:t>
            </w:r>
          </w:p>
        </w:tc>
      </w:tr>
    </w:tbl>
    <w:p w:rsidR="00F42F20" w:rsidRDefault="00F42F20">
      <w:pPr>
        <w:pStyle w:val="ae"/>
        <w:rPr>
          <w:color w:val="C9211E"/>
        </w:rPr>
      </w:pPr>
    </w:p>
    <w:p w:rsidR="00F42F20" w:rsidRDefault="00030E58">
      <w:pPr>
        <w:pStyle w:val="ae"/>
      </w:pPr>
      <w:r>
        <w:rPr>
          <w:szCs w:val="28"/>
        </w:rPr>
        <w:t>Функциональн</w:t>
      </w:r>
      <w:r>
        <w:t>ое</w:t>
      </w:r>
      <w:r>
        <w:rPr>
          <w:szCs w:val="28"/>
        </w:rPr>
        <w:t xml:space="preserve"> зон</w:t>
      </w:r>
      <w:r>
        <w:t>ирование</w:t>
      </w:r>
      <w:r>
        <w:rPr>
          <w:szCs w:val="28"/>
        </w:rPr>
        <w:t xml:space="preserve"> </w:t>
      </w:r>
      <w:r>
        <w:rPr>
          <w:rStyle w:val="-"/>
          <w:rFonts w:eastAsia="MS Mincho;ＭＳ 明朝"/>
          <w:bCs/>
          <w:color w:val="000000"/>
          <w:szCs w:val="28"/>
          <w:u w:val="none"/>
          <w:lang w:eastAsia="en-US"/>
        </w:rPr>
        <w:t>территории м</w:t>
      </w:r>
      <w:r>
        <w:rPr>
          <w:rStyle w:val="-"/>
          <w:bCs/>
          <w:iCs/>
          <w:color w:val="000000"/>
          <w:spacing w:val="5"/>
          <w:szCs w:val="28"/>
          <w:u w:val="none"/>
          <w:lang w:eastAsia="en-US"/>
        </w:rPr>
        <w:t xml:space="preserve">униципального образования 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–</w:t>
      </w:r>
      <w:r>
        <w:rPr>
          <w:rStyle w:val="-"/>
          <w:bCs/>
          <w:iCs/>
          <w:color w:val="000000"/>
          <w:spacing w:val="5"/>
          <w:szCs w:val="28"/>
          <w:u w:val="none"/>
          <w:lang w:eastAsia="en-US"/>
        </w:rPr>
        <w:t xml:space="preserve">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</w:rPr>
        <w:t>Желобовское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</w:rPr>
        <w:t xml:space="preserve"> сельское поселение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</w:rPr>
        <w:t>Сараевского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</w:rPr>
        <w:t xml:space="preserve"> муниципального района</w:t>
      </w:r>
      <w:r>
        <w:rPr>
          <w:rStyle w:val="-"/>
          <w:bCs/>
          <w:iCs/>
          <w:color w:val="000000"/>
          <w:spacing w:val="5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bCs/>
          <w:iCs/>
          <w:color w:val="000000"/>
          <w:u w:val="none"/>
        </w:rPr>
        <w:t>отображено на карте функциональных зон.</w:t>
      </w:r>
    </w:p>
    <w:p w:rsidR="00F42F20" w:rsidRDefault="00030E58">
      <w:pPr>
        <w:pStyle w:val="ae"/>
        <w:numPr>
          <w:ilvl w:val="0"/>
          <w:numId w:val="2"/>
        </w:numPr>
        <w:ind w:firstLine="709"/>
      </w:pPr>
      <w:r>
        <w:rPr>
          <w:iCs/>
          <w:szCs w:val="28"/>
          <w:lang w:eastAsia="ar-SA"/>
        </w:rPr>
        <w:t xml:space="preserve">Параметры функциональных зон </w:t>
      </w:r>
      <w:r>
        <w:rPr>
          <w:iCs/>
          <w:spacing w:val="5"/>
          <w:szCs w:val="28"/>
          <w:lang w:eastAsia="ar-SA"/>
        </w:rPr>
        <w:t xml:space="preserve">муниципального образования – </w:t>
      </w:r>
      <w:proofErr w:type="spellStart"/>
      <w:r>
        <w:rPr>
          <w:iCs/>
          <w:spacing w:val="5"/>
          <w:szCs w:val="28"/>
        </w:rPr>
        <w:t>Желобовское</w:t>
      </w:r>
      <w:proofErr w:type="spellEnd"/>
      <w:r>
        <w:rPr>
          <w:iCs/>
          <w:spacing w:val="5"/>
          <w:szCs w:val="28"/>
        </w:rPr>
        <w:t xml:space="preserve"> сельское поселение </w:t>
      </w:r>
      <w:proofErr w:type="spellStart"/>
      <w:r>
        <w:rPr>
          <w:iCs/>
          <w:spacing w:val="5"/>
          <w:szCs w:val="28"/>
        </w:rPr>
        <w:t>Сараевского</w:t>
      </w:r>
      <w:proofErr w:type="spellEnd"/>
      <w:r>
        <w:rPr>
          <w:iCs/>
          <w:spacing w:val="5"/>
          <w:szCs w:val="28"/>
        </w:rPr>
        <w:t xml:space="preserve"> муниципального района</w:t>
      </w:r>
      <w:r>
        <w:rPr>
          <w:iCs/>
          <w:spacing w:val="5"/>
          <w:szCs w:val="28"/>
          <w:lang w:eastAsia="ar-SA"/>
        </w:rPr>
        <w:t xml:space="preserve"> Рязанской области</w:t>
      </w:r>
      <w:r>
        <w:rPr>
          <w:iCs/>
          <w:szCs w:val="28"/>
        </w:rPr>
        <w:t xml:space="preserve"> 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представлены</w:t>
      </w:r>
      <w:r>
        <w:rPr>
          <w:iCs/>
          <w:szCs w:val="28"/>
        </w:rPr>
        <w:t xml:space="preserve"> в таблице 2.2.</w:t>
      </w:r>
    </w:p>
    <w:p w:rsidR="00F42F20" w:rsidRDefault="00F42F20">
      <w:pPr>
        <w:pStyle w:val="ae"/>
        <w:numPr>
          <w:ilvl w:val="0"/>
          <w:numId w:val="3"/>
        </w:numPr>
        <w:ind w:firstLine="709"/>
        <w:contextualSpacing/>
        <w:jc w:val="right"/>
        <w:rPr>
          <w:rStyle w:val="-"/>
          <w:rFonts w:eastAsia="Arial"/>
          <w:iCs/>
          <w:color w:val="000000"/>
          <w:spacing w:val="4"/>
          <w:szCs w:val="28"/>
          <w:u w:val="none"/>
          <w:shd w:val="clear" w:color="auto" w:fill="FFFFFF"/>
        </w:rPr>
      </w:pPr>
    </w:p>
    <w:p w:rsidR="00F42F20" w:rsidRDefault="00F42F20">
      <w:pPr>
        <w:pStyle w:val="ae"/>
        <w:numPr>
          <w:ilvl w:val="0"/>
          <w:numId w:val="3"/>
        </w:numPr>
        <w:ind w:firstLine="709"/>
        <w:contextualSpacing/>
        <w:jc w:val="right"/>
        <w:rPr>
          <w:rStyle w:val="-"/>
          <w:rFonts w:eastAsia="Arial"/>
          <w:iCs/>
          <w:color w:val="000000"/>
          <w:spacing w:val="4"/>
          <w:szCs w:val="28"/>
          <w:u w:val="none"/>
          <w:shd w:val="clear" w:color="auto" w:fill="FFFFFF"/>
        </w:rPr>
      </w:pPr>
    </w:p>
    <w:p w:rsidR="00F42F20" w:rsidRDefault="00F42F20">
      <w:pPr>
        <w:pStyle w:val="ae"/>
        <w:numPr>
          <w:ilvl w:val="0"/>
          <w:numId w:val="3"/>
        </w:numPr>
        <w:ind w:firstLine="709"/>
        <w:contextualSpacing/>
        <w:jc w:val="right"/>
        <w:rPr>
          <w:rStyle w:val="-"/>
          <w:rFonts w:eastAsia="Arial"/>
          <w:iCs/>
          <w:color w:val="000000"/>
          <w:spacing w:val="4"/>
          <w:szCs w:val="28"/>
          <w:u w:val="none"/>
          <w:shd w:val="clear" w:color="auto" w:fill="FFFFFF"/>
        </w:rPr>
      </w:pPr>
    </w:p>
    <w:p w:rsidR="00F42F20" w:rsidRDefault="00030E58">
      <w:pPr>
        <w:pStyle w:val="ae"/>
        <w:numPr>
          <w:ilvl w:val="0"/>
          <w:numId w:val="3"/>
        </w:numPr>
        <w:ind w:firstLine="709"/>
        <w:contextualSpacing/>
        <w:jc w:val="right"/>
      </w:pPr>
      <w:r>
        <w:rPr>
          <w:rStyle w:val="-"/>
          <w:rFonts w:eastAsia="Arial"/>
          <w:iCs/>
          <w:color w:val="000000"/>
          <w:spacing w:val="4"/>
          <w:szCs w:val="28"/>
          <w:u w:val="none"/>
          <w:shd w:val="clear" w:color="auto" w:fill="FFFFFF"/>
        </w:rPr>
        <w:lastRenderedPageBreak/>
        <w:t>Таблица 2.2</w:t>
      </w:r>
    </w:p>
    <w:tbl>
      <w:tblPr>
        <w:tblW w:w="9927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028"/>
        <w:gridCol w:w="1247"/>
        <w:gridCol w:w="1709"/>
        <w:gridCol w:w="1693"/>
        <w:gridCol w:w="1706"/>
      </w:tblGrid>
      <w:tr w:rsidR="00F42F20">
        <w:trPr>
          <w:trHeight w:val="845"/>
          <w:tblHeader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F20" w:rsidRDefault="00030E58">
            <w:pPr>
              <w:pStyle w:val="afa"/>
              <w:widowControl w:val="0"/>
            </w:pPr>
            <w:r>
              <w:t>№</w:t>
            </w:r>
          </w:p>
          <w:p w:rsidR="00F42F20" w:rsidRDefault="00030E58">
            <w:pPr>
              <w:pStyle w:val="afa"/>
              <w:widowControl w:val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F20" w:rsidRDefault="00030E58">
            <w:pPr>
              <w:pStyle w:val="afa"/>
              <w:widowControl w:val="0"/>
            </w:pPr>
            <w:r>
              <w:t>Наименование</w:t>
            </w:r>
          </w:p>
          <w:p w:rsidR="00F42F20" w:rsidRDefault="00030E58">
            <w:pPr>
              <w:pStyle w:val="afa"/>
              <w:widowControl w:val="0"/>
            </w:pPr>
            <w:r>
              <w:t>функциональной зоны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F20" w:rsidRDefault="00030E58">
            <w:pPr>
              <w:pStyle w:val="afa"/>
              <w:widowControl w:val="0"/>
            </w:pPr>
            <w:r>
              <w:t>Площадь,</w:t>
            </w:r>
          </w:p>
          <w:p w:rsidR="00F42F20" w:rsidRDefault="00030E58">
            <w:pPr>
              <w:pStyle w:val="afa"/>
              <w:widowControl w:val="0"/>
            </w:pPr>
            <w:r>
              <w:t>га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F20" w:rsidRDefault="00030E58">
            <w:pPr>
              <w:pStyle w:val="afa"/>
              <w:widowControl w:val="0"/>
            </w:pPr>
            <w:r>
              <w:t>Максимальный коэффициент застройки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F20" w:rsidRDefault="00030E58">
            <w:pPr>
              <w:pStyle w:val="afa"/>
              <w:widowControl w:val="0"/>
            </w:pPr>
            <w:r>
              <w:t>Максимальный коэффициент плотности застройки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20" w:rsidRDefault="00030E58">
            <w:pPr>
              <w:pStyle w:val="afa"/>
              <w:widowControl w:val="0"/>
              <w:ind w:left="0"/>
            </w:pPr>
            <w:r>
              <w:t>Максимальная этажность</w:t>
            </w:r>
          </w:p>
        </w:tc>
      </w:tr>
      <w:tr w:rsidR="00F42F20">
        <w:trPr>
          <w:trHeight w:val="340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numPr>
                <w:ilvl w:val="0"/>
                <w:numId w:val="2"/>
              </w:numPr>
              <w:ind w:left="28"/>
            </w:pPr>
            <w:r>
              <w:t>1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jc w:val="left"/>
            </w:pPr>
            <w:r>
              <w:t>Жилые зоны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ind w:left="0"/>
            </w:pPr>
            <w:r>
              <w:t>893,88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ind w:left="0"/>
            </w:pPr>
            <w:r>
              <w:t>Застройка индивидуальными жилыми домами</w:t>
            </w:r>
          </w:p>
        </w:tc>
      </w:tr>
      <w:tr w:rsidR="00F42F20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F20" w:rsidRDefault="00F42F20">
            <w:pPr>
              <w:pStyle w:val="afa"/>
              <w:widowControl w:val="0"/>
              <w:rPr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F20" w:rsidRDefault="00F42F20">
            <w:pPr>
              <w:pStyle w:val="afa"/>
              <w:widowControl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F20" w:rsidRDefault="00F42F20">
            <w:pPr>
              <w:pStyle w:val="afa"/>
              <w:widowControl w:val="0"/>
              <w:ind w:left="0"/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ind w:left="0"/>
            </w:pPr>
            <w:r>
              <w:t>0,2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ind w:left="0"/>
            </w:pPr>
            <w:r>
              <w:t>0,4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ind w:left="0"/>
            </w:pPr>
            <w:r>
              <w:t>3</w:t>
            </w:r>
          </w:p>
        </w:tc>
      </w:tr>
      <w:tr w:rsidR="00F42F20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F20" w:rsidRDefault="00F42F20">
            <w:pPr>
              <w:pStyle w:val="afa"/>
              <w:widowControl w:val="0"/>
              <w:rPr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F20" w:rsidRDefault="00F42F20">
            <w:pPr>
              <w:pStyle w:val="afa"/>
              <w:widowControl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F20" w:rsidRDefault="00F42F20">
            <w:pPr>
              <w:pStyle w:val="afa"/>
              <w:widowControl w:val="0"/>
              <w:ind w:left="0"/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F20" w:rsidRDefault="00030E58">
            <w:pPr>
              <w:widowControl w:val="0"/>
              <w:suppressLineNumbers/>
              <w:spacing w:before="0" w:after="0"/>
            </w:pPr>
            <w:r>
              <w:t>Застройка блокированными жилыми домами</w:t>
            </w:r>
          </w:p>
        </w:tc>
      </w:tr>
      <w:tr w:rsidR="00F42F20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F20" w:rsidRDefault="00F42F20">
            <w:pPr>
              <w:pStyle w:val="afa"/>
              <w:widowControl w:val="0"/>
              <w:rPr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F20" w:rsidRDefault="00F42F20">
            <w:pPr>
              <w:pStyle w:val="afa"/>
              <w:widowControl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F20" w:rsidRDefault="00F42F20">
            <w:pPr>
              <w:pStyle w:val="afa"/>
              <w:widowControl w:val="0"/>
              <w:ind w:left="0"/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ind w:left="0"/>
            </w:pPr>
            <w:r>
              <w:t>0,3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ind w:left="0"/>
            </w:pPr>
            <w:r>
              <w:t>0,6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ind w:left="0"/>
            </w:pPr>
            <w:r>
              <w:t>3</w:t>
            </w:r>
          </w:p>
        </w:tc>
      </w:tr>
      <w:tr w:rsidR="00F42F20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F20" w:rsidRDefault="00F42F20">
            <w:pPr>
              <w:pStyle w:val="afa"/>
              <w:widowControl w:val="0"/>
              <w:rPr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F20" w:rsidRDefault="00F42F20">
            <w:pPr>
              <w:pStyle w:val="afa"/>
              <w:widowControl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F20" w:rsidRDefault="00F42F20">
            <w:pPr>
              <w:pStyle w:val="afa"/>
              <w:widowControl w:val="0"/>
              <w:ind w:left="0"/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F20" w:rsidRDefault="00030E58">
            <w:pPr>
              <w:widowControl w:val="0"/>
              <w:suppressLineNumbers/>
              <w:spacing w:before="0" w:after="0"/>
            </w:pPr>
            <w:r>
              <w:t>Застройка малоэтажными жилыми домами</w:t>
            </w:r>
          </w:p>
        </w:tc>
      </w:tr>
      <w:tr w:rsidR="00F42F20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F20" w:rsidRDefault="00F42F20">
            <w:pPr>
              <w:pStyle w:val="afa"/>
              <w:widowControl w:val="0"/>
              <w:rPr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F20" w:rsidRDefault="00F42F20">
            <w:pPr>
              <w:pStyle w:val="afa"/>
              <w:widowControl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F20" w:rsidRDefault="00F42F20">
            <w:pPr>
              <w:pStyle w:val="afa"/>
              <w:widowControl w:val="0"/>
              <w:ind w:left="0"/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ind w:left="0"/>
            </w:pPr>
            <w:r>
              <w:t>0,4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ind w:left="0"/>
            </w:pPr>
            <w:r>
              <w:t>0,8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ind w:left="0"/>
            </w:pPr>
            <w:r>
              <w:t>4</w:t>
            </w:r>
          </w:p>
        </w:tc>
      </w:tr>
      <w:tr w:rsidR="00F42F20">
        <w:trPr>
          <w:trHeight w:val="582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</w:pPr>
            <w:r>
              <w:t>2.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ind w:left="0"/>
            </w:pPr>
            <w:r>
              <w:t>0,52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ind w:left="0"/>
            </w:pPr>
            <w:r>
              <w:t>0,8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ind w:left="0"/>
            </w:pPr>
            <w:r>
              <w:t>2,4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F20" w:rsidRDefault="00030E58">
            <w:pPr>
              <w:pStyle w:val="afa"/>
              <w:widowControl w:val="0"/>
            </w:pPr>
            <w:r>
              <w:t>-</w:t>
            </w:r>
          </w:p>
        </w:tc>
      </w:tr>
      <w:tr w:rsidR="00F42F20">
        <w:trPr>
          <w:trHeight w:val="582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rPr>
                <w:kern w:val="2"/>
              </w:rPr>
            </w:pPr>
            <w:r>
              <w:rPr>
                <w:kern w:val="2"/>
              </w:rPr>
              <w:t>3.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ind w:left="57"/>
              <w:jc w:val="left"/>
              <w:textAlignment w:val="baseline"/>
            </w:pPr>
            <w:r>
              <w:t>Зона инженерной инфраструктуры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snapToGrid w:val="0"/>
              <w:ind w:left="0"/>
              <w:textAlignment w:val="baseline"/>
            </w:pPr>
            <w:r>
              <w:t>1,15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</w:pPr>
            <w: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</w:pPr>
            <w: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F20" w:rsidRDefault="00030E58">
            <w:pPr>
              <w:pStyle w:val="afa"/>
              <w:widowControl w:val="0"/>
            </w:pPr>
            <w:r>
              <w:t>-</w:t>
            </w:r>
          </w:p>
        </w:tc>
      </w:tr>
      <w:tr w:rsidR="00F42F20">
        <w:trPr>
          <w:trHeight w:val="582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</w:pPr>
            <w:r>
              <w:t>4.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ind w:left="0"/>
            </w:pPr>
            <w:r>
              <w:t>3,54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</w:pPr>
            <w: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</w:pPr>
            <w: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F20" w:rsidRDefault="00030E58">
            <w:pPr>
              <w:pStyle w:val="afa"/>
              <w:widowControl w:val="0"/>
            </w:pPr>
            <w:r>
              <w:t>-</w:t>
            </w:r>
          </w:p>
        </w:tc>
      </w:tr>
      <w:tr w:rsidR="00F42F20"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</w:pPr>
            <w:r>
              <w:t>5.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widowControl w:val="0"/>
              <w:suppressLineNumbers/>
              <w:spacing w:before="0" w:after="0"/>
              <w:ind w:left="113" w:right="113"/>
              <w:jc w:val="both"/>
            </w:pPr>
            <w:r>
              <w:t>Зоны сельскохозяйственного использования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ind w:left="0"/>
            </w:pPr>
            <w:r>
              <w:t>16432,82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</w:pPr>
            <w: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</w:pPr>
            <w: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F20" w:rsidRDefault="00030E58">
            <w:pPr>
              <w:pStyle w:val="afa"/>
              <w:widowControl w:val="0"/>
            </w:pPr>
            <w:r>
              <w:t>-</w:t>
            </w:r>
          </w:p>
        </w:tc>
      </w:tr>
      <w:tr w:rsidR="00F42F20">
        <w:trPr>
          <w:trHeight w:val="586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</w:pPr>
            <w:r>
              <w:t>6.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ind w:left="57"/>
              <w:jc w:val="left"/>
            </w:pPr>
            <w:r>
              <w:t>Зона лесов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ind w:left="0"/>
            </w:pPr>
            <w:r>
              <w:t>589,91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</w:pPr>
            <w: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</w:pPr>
            <w: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F20" w:rsidRDefault="00030E58">
            <w:pPr>
              <w:pStyle w:val="afa"/>
              <w:widowControl w:val="0"/>
            </w:pPr>
            <w:r>
              <w:t>-</w:t>
            </w:r>
          </w:p>
        </w:tc>
      </w:tr>
      <w:tr w:rsidR="00F42F20">
        <w:trPr>
          <w:trHeight w:val="586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</w:pPr>
            <w:r>
              <w:t>7.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e"/>
              <w:widowControl w:val="0"/>
              <w:suppressLineNumbers/>
              <w:tabs>
                <w:tab w:val="left" w:pos="680"/>
              </w:tabs>
              <w:ind w:left="57" w:right="57" w:firstLine="0"/>
              <w:jc w:val="left"/>
            </w:pPr>
            <w:r>
              <w:rPr>
                <w:sz w:val="24"/>
                <w:lang w:eastAsia="ar-SA"/>
              </w:rPr>
              <w:t>Зона озелененных территорий специального назначения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ind w:left="0"/>
            </w:pPr>
            <w:r>
              <w:t>3,65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</w:pPr>
            <w: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</w:pPr>
            <w: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F20" w:rsidRDefault="00030E58">
            <w:pPr>
              <w:pStyle w:val="afa"/>
              <w:widowControl w:val="0"/>
            </w:pPr>
            <w:r>
              <w:t>-</w:t>
            </w:r>
          </w:p>
        </w:tc>
      </w:tr>
      <w:tr w:rsidR="00F42F20">
        <w:trPr>
          <w:trHeight w:val="580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</w:pPr>
            <w:r>
              <w:t>8.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ind w:left="57"/>
              <w:jc w:val="left"/>
            </w:pPr>
            <w:r>
              <w:t>Зона кладбищ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  <w:ind w:left="0"/>
            </w:pPr>
            <w:r>
              <w:t>3,3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</w:pPr>
            <w: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F42F20" w:rsidRDefault="00030E58">
            <w:pPr>
              <w:pStyle w:val="afa"/>
              <w:widowControl w:val="0"/>
            </w:pPr>
            <w: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F20" w:rsidRDefault="00030E58">
            <w:pPr>
              <w:pStyle w:val="afa"/>
              <w:widowControl w:val="0"/>
            </w:pPr>
            <w:r>
              <w:t>-</w:t>
            </w:r>
          </w:p>
        </w:tc>
      </w:tr>
      <w:tr w:rsidR="00F42F20">
        <w:trPr>
          <w:trHeight w:val="454"/>
        </w:trPr>
        <w:tc>
          <w:tcPr>
            <w:tcW w:w="992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F20" w:rsidRDefault="00030E58">
            <w:pPr>
              <w:pStyle w:val="ae"/>
              <w:widowControl w:val="0"/>
              <w:numPr>
                <w:ilvl w:val="0"/>
                <w:numId w:val="2"/>
              </w:numPr>
              <w:ind w:left="57" w:right="57" w:firstLine="567"/>
            </w:pPr>
            <w:r>
              <w:rPr>
                <w:rFonts w:eastAsia="Calibri" w:cs="Calibri"/>
                <w:sz w:val="24"/>
              </w:rPr>
              <w:t>Примечания:</w:t>
            </w:r>
          </w:p>
          <w:p w:rsidR="00F42F20" w:rsidRDefault="00030E58">
            <w:pPr>
              <w:pStyle w:val="ae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      </w:r>
          </w:p>
          <w:p w:rsidR="00F42F20" w:rsidRDefault="00030E58">
            <w:pPr>
              <w:pStyle w:val="ae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      </w:r>
          </w:p>
          <w:p w:rsidR="00F42F20" w:rsidRDefault="00030E58">
            <w:pPr>
              <w:pStyle w:val="ae"/>
              <w:widowControl w:val="0"/>
              <w:numPr>
                <w:ilvl w:val="0"/>
                <w:numId w:val="2"/>
              </w:numPr>
              <w:ind w:left="57" w:right="57" w:firstLine="567"/>
            </w:pPr>
            <w:r>
              <w:rPr>
                <w:sz w:val="24"/>
              </w:rPr>
              <w:t xml:space="preserve">3. Надземным этажом считается этаж с отметкой пола помещений не ниже планировочной отметки земли. При размещении </w:t>
            </w:r>
            <w:r>
              <w:rPr>
                <w:rFonts w:eastAsia="Calibri" w:cs="Calibri"/>
                <w:sz w:val="24"/>
              </w:rPr>
              <w:t>объекта капитального строительства</w:t>
            </w:r>
            <w:r>
              <w:rPr>
                <w:sz w:val="24"/>
              </w:rPr>
      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      </w:r>
          </w:p>
          <w:p w:rsidR="00F42F20" w:rsidRDefault="00030E58">
            <w:pPr>
              <w:pStyle w:val="ae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      </w:r>
          </w:p>
          <w:p w:rsidR="00F42F20" w:rsidRDefault="00030E58">
            <w:pPr>
              <w:pStyle w:val="ae"/>
              <w:widowControl w:val="0"/>
              <w:numPr>
                <w:ilvl w:val="0"/>
                <w:numId w:val="2"/>
              </w:numPr>
              <w:ind w:left="57" w:right="57" w:firstLine="567"/>
            </w:pPr>
            <w:r>
              <w:rPr>
                <w:sz w:val="24"/>
              </w:rPr>
              <w:t>5. Коэффициент застройки определяется как отношение площади, занятой под зданиями и сооружениями, к площади территории.</w:t>
            </w:r>
          </w:p>
          <w:p w:rsidR="00F42F20" w:rsidRDefault="00030E58">
            <w:pPr>
              <w:pStyle w:val="ae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t>6. Коэффициент плотности застройки определяется как отношение суммарной поэтажной площади здания и сооружения к площади территории.</w:t>
            </w:r>
          </w:p>
        </w:tc>
      </w:tr>
    </w:tbl>
    <w:p w:rsidR="00F42F20" w:rsidRDefault="00F42F20">
      <w:pPr>
        <w:pStyle w:val="ae"/>
        <w:suppressLineNumbers/>
        <w:contextualSpacing/>
        <w:rPr>
          <w:sz w:val="32"/>
          <w:szCs w:val="32"/>
        </w:rPr>
      </w:pPr>
    </w:p>
    <w:p w:rsidR="00F42F20" w:rsidRDefault="00030E58">
      <w:pPr>
        <w:pStyle w:val="ae"/>
        <w:suppressLineNumbers/>
        <w:contextualSpacing/>
      </w:pPr>
      <w:r>
        <w:rPr>
          <w:rStyle w:val="-"/>
          <w:iCs/>
          <w:color w:val="000000"/>
          <w:szCs w:val="28"/>
          <w:u w:val="none"/>
          <w:shd w:val="clear" w:color="auto" w:fill="FFFFFF"/>
        </w:rPr>
        <w:lastRenderedPageBreak/>
        <w:t xml:space="preserve">На территории 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shd w:val="clear" w:color="auto" w:fill="FFFFFF"/>
          <w:lang w:eastAsia="en-US"/>
        </w:rPr>
        <w:t>м</w:t>
      </w:r>
      <w:r>
        <w:rPr>
          <w:rStyle w:val="-"/>
          <w:bCs/>
          <w:iCs/>
          <w:color w:val="000000"/>
          <w:spacing w:val="5"/>
          <w:szCs w:val="28"/>
          <w:u w:val="none"/>
          <w:lang w:eastAsia="en-US"/>
        </w:rPr>
        <w:t xml:space="preserve">униципального образования 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-</w:t>
      </w:r>
      <w:r>
        <w:rPr>
          <w:rStyle w:val="-"/>
          <w:bCs/>
          <w:iCs/>
          <w:color w:val="000000"/>
          <w:spacing w:val="5"/>
          <w:szCs w:val="28"/>
          <w:u w:val="none"/>
          <w:lang w:eastAsia="en-US"/>
        </w:rPr>
        <w:t xml:space="preserve">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</w:rPr>
        <w:t>Желобовское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</w:rPr>
        <w:t xml:space="preserve"> сельское поселение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</w:rPr>
        <w:t>Сараевского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</w:rPr>
        <w:t xml:space="preserve"> муниципального района</w:t>
      </w:r>
      <w:r>
        <w:rPr>
          <w:rStyle w:val="-"/>
          <w:bCs/>
          <w:iCs/>
          <w:color w:val="000000"/>
          <w:spacing w:val="5"/>
          <w:szCs w:val="28"/>
          <w:u w:val="none"/>
          <w:lang w:eastAsia="en-US"/>
        </w:rPr>
        <w:t xml:space="preserve"> Рязанской области</w:t>
      </w:r>
      <w:r>
        <w:rPr>
          <w:rStyle w:val="-"/>
          <w:iCs/>
          <w:color w:val="000000"/>
          <w:szCs w:val="28"/>
          <w:u w:val="none"/>
          <w:shd w:val="clear" w:color="auto" w:fill="FFFFFF"/>
        </w:rPr>
        <w:t xml:space="preserve"> не планируется размещение объектов федерального и регионального значения, объектов местного значения.</w:t>
      </w:r>
    </w:p>
    <w:sectPr w:rsidR="00F42F20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134" w:right="567" w:bottom="624" w:left="141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177" w:rsidRDefault="003D7177">
      <w:pPr>
        <w:spacing w:before="0" w:after="0"/>
      </w:pPr>
      <w:r>
        <w:separator/>
      </w:r>
    </w:p>
  </w:endnote>
  <w:endnote w:type="continuationSeparator" w:id="0">
    <w:p w:rsidR="003D7177" w:rsidRDefault="003D71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20" w:rsidRDefault="00F42F20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20" w:rsidRDefault="00F42F20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20" w:rsidRDefault="00F42F20">
    <w:pPr>
      <w:pStyle w:val="af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20" w:rsidRDefault="00F42F2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177" w:rsidRDefault="003D7177">
      <w:pPr>
        <w:spacing w:before="0" w:after="0"/>
      </w:pPr>
      <w:r>
        <w:separator/>
      </w:r>
    </w:p>
  </w:footnote>
  <w:footnote w:type="continuationSeparator" w:id="0">
    <w:p w:rsidR="003D7177" w:rsidRDefault="003D71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20" w:rsidRDefault="00F42F20">
    <w:pPr>
      <w:pStyle w:val="a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20" w:rsidRDefault="00F42F20">
    <w:pPr>
      <w:pStyle w:val="af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20" w:rsidRDefault="00F42F20">
    <w:pPr>
      <w:pStyle w:val="af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20" w:rsidRDefault="00030E58">
    <w:pPr>
      <w:pStyle w:val="afd"/>
    </w:pPr>
    <w:r>
      <w:fldChar w:fldCharType="begin"/>
    </w:r>
    <w:r>
      <w:instrText>PAGE</w:instrText>
    </w:r>
    <w:r>
      <w:fldChar w:fldCharType="separate"/>
    </w:r>
    <w:r w:rsidR="00850FEC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35ACB"/>
    <w:multiLevelType w:val="multilevel"/>
    <w:tmpl w:val="E654B7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DB2511"/>
    <w:multiLevelType w:val="multilevel"/>
    <w:tmpl w:val="69EC1A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368099F"/>
    <w:multiLevelType w:val="multilevel"/>
    <w:tmpl w:val="9042A6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8A31D6B"/>
    <w:multiLevelType w:val="multilevel"/>
    <w:tmpl w:val="AB28B7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F20"/>
    <w:rsid w:val="00030E58"/>
    <w:rsid w:val="003D7177"/>
    <w:rsid w:val="00850FEC"/>
    <w:rsid w:val="00E734EC"/>
    <w:rsid w:val="00F42F20"/>
    <w:rsid w:val="00FE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1">
    <w:name w:val="heading 1"/>
    <w:basedOn w:val="a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  <w:lang w:bidi="hi-IN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  <w:lang w:bidi="hi-IN"/>
    </w:rPr>
  </w:style>
  <w:style w:type="paragraph" w:styleId="5">
    <w:name w:val="heading 5"/>
    <w:basedOn w:val="a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  <w:lang w:bidi="hi-IN"/>
    </w:rPr>
  </w:style>
  <w:style w:type="paragraph" w:styleId="6">
    <w:name w:val="heading 6"/>
    <w:basedOn w:val="a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a5">
    <w:name w:val="Выделенная цитата Знак"/>
    <w:link w:val="a6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7">
    <w:name w:val="Символ сноски"/>
    <w:qFormat/>
    <w:rPr>
      <w:vertAlign w:val="superscript"/>
    </w:rPr>
  </w:style>
  <w:style w:type="character" w:customStyle="1" w:styleId="a8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9">
    <w:name w:val="Текст выноски Знак"/>
    <w:basedOn w:val="a0"/>
    <w:uiPriority w:val="99"/>
    <w:semiHidden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character" w:customStyle="1" w:styleId="aa">
    <w:name w:val="Символ нумерации"/>
    <w:qFormat/>
  </w:style>
  <w:style w:type="character" w:customStyle="1" w:styleId="ab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color w:val="000000"/>
      <w:lang w:bidi="ar-SA"/>
    </w:rPr>
  </w:style>
  <w:style w:type="character" w:customStyle="1" w:styleId="ac">
    <w:name w:val="Цветовое выделение для Текст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sz w:val="28"/>
      <w:szCs w:val="28"/>
      <w:lang w:bidi="hi-IN"/>
    </w:rPr>
  </w:style>
  <w:style w:type="paragraph" w:styleId="ae">
    <w:name w:val="Body Text"/>
    <w:basedOn w:val="a"/>
    <w:pPr>
      <w:spacing w:before="0" w:after="0"/>
      <w:ind w:firstLine="709"/>
      <w:jc w:val="both"/>
    </w:pPr>
    <w:rPr>
      <w:sz w:val="28"/>
    </w:rPr>
  </w:style>
  <w:style w:type="paragraph" w:styleId="af">
    <w:name w:val="List"/>
    <w:basedOn w:val="a"/>
    <w:pPr>
      <w:ind w:left="283" w:hanging="283"/>
    </w:pPr>
    <w:rPr>
      <w:color w:val="FFFFFF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styleId="af2">
    <w:name w:val="No Spacing"/>
    <w:uiPriority w:val="1"/>
    <w:qFormat/>
  </w:style>
  <w:style w:type="paragraph" w:styleId="af3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6">
    <w:name w:val="Intense Quote"/>
    <w:basedOn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af4">
    <w:name w:val="endnote text"/>
    <w:basedOn w:val="a"/>
    <w:uiPriority w:val="99"/>
    <w:semiHidden/>
    <w:unhideWhenUsed/>
    <w:pPr>
      <w:spacing w:before="0" w:after="0"/>
    </w:pPr>
    <w:rPr>
      <w:sz w:val="20"/>
    </w:rPr>
  </w:style>
  <w:style w:type="paragraph" w:styleId="31">
    <w:name w:val="toc 3"/>
    <w:basedOn w:val="a"/>
    <w:uiPriority w:val="39"/>
    <w:unhideWhenUsed/>
    <w:pPr>
      <w:spacing w:before="0" w:after="57"/>
      <w:ind w:left="567"/>
    </w:pPr>
  </w:style>
  <w:style w:type="paragraph" w:styleId="40">
    <w:name w:val="toc 4"/>
    <w:basedOn w:val="a"/>
    <w:uiPriority w:val="39"/>
    <w:unhideWhenUsed/>
    <w:pPr>
      <w:spacing w:before="0" w:after="57"/>
      <w:ind w:left="850"/>
    </w:pPr>
  </w:style>
  <w:style w:type="paragraph" w:styleId="51">
    <w:name w:val="toc 5"/>
    <w:basedOn w:val="a"/>
    <w:uiPriority w:val="39"/>
    <w:unhideWhenUsed/>
    <w:pPr>
      <w:spacing w:before="0" w:after="57"/>
      <w:ind w:left="1134"/>
    </w:pPr>
  </w:style>
  <w:style w:type="paragraph" w:styleId="61">
    <w:name w:val="toc 6"/>
    <w:basedOn w:val="a"/>
    <w:uiPriority w:val="39"/>
    <w:unhideWhenUsed/>
    <w:pPr>
      <w:spacing w:before="0" w:after="57"/>
      <w:ind w:left="1417"/>
    </w:pPr>
  </w:style>
  <w:style w:type="paragraph" w:styleId="71">
    <w:name w:val="toc 7"/>
    <w:basedOn w:val="a"/>
    <w:uiPriority w:val="39"/>
    <w:unhideWhenUsed/>
    <w:pPr>
      <w:spacing w:before="0" w:after="57"/>
      <w:ind w:left="1701"/>
    </w:pPr>
  </w:style>
  <w:style w:type="paragraph" w:styleId="81">
    <w:name w:val="toc 8"/>
    <w:basedOn w:val="a"/>
    <w:uiPriority w:val="39"/>
    <w:unhideWhenUsed/>
    <w:pPr>
      <w:spacing w:before="0" w:after="57"/>
      <w:ind w:left="1984"/>
    </w:pPr>
  </w:style>
  <w:style w:type="paragraph" w:styleId="91">
    <w:name w:val="toc 9"/>
    <w:basedOn w:val="a"/>
    <w:uiPriority w:val="39"/>
    <w:unhideWhenUsed/>
    <w:pPr>
      <w:spacing w:before="0" w:after="57"/>
      <w:ind w:left="2268"/>
    </w:pPr>
  </w:style>
  <w:style w:type="paragraph" w:styleId="af5">
    <w:name w:val="TOC Heading"/>
    <w:uiPriority w:val="39"/>
    <w:unhideWhenUsed/>
    <w:qFormat/>
  </w:style>
  <w:style w:type="paragraph" w:styleId="af6">
    <w:name w:val="table of figures"/>
    <w:basedOn w:val="a"/>
    <w:uiPriority w:val="99"/>
    <w:unhideWhenUsed/>
    <w:qFormat/>
    <w:pPr>
      <w:spacing w:before="0" w:after="0"/>
    </w:p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f7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footer"/>
    <w:basedOn w:val="a"/>
    <w:pPr>
      <w:ind w:left="757"/>
    </w:pPr>
    <w:rPr>
      <w:color w:val="808080"/>
    </w:rPr>
  </w:style>
  <w:style w:type="paragraph" w:customStyle="1" w:styleId="afa">
    <w:name w:val="Содержимое таблицы"/>
    <w:basedOn w:val="a"/>
    <w:qFormat/>
    <w:pPr>
      <w:suppressLineNumbers/>
      <w:spacing w:before="0" w:after="0"/>
      <w:ind w:left="28"/>
    </w:pPr>
  </w:style>
  <w:style w:type="paragraph" w:styleId="afb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afc">
    <w:name w:val="Заголовок таблицы"/>
    <w:basedOn w:val="afa"/>
    <w:qFormat/>
    <w:rPr>
      <w:b/>
      <w:bCs/>
    </w:rPr>
  </w:style>
  <w:style w:type="paragraph" w:styleId="afd">
    <w:name w:val="header"/>
    <w:basedOn w:val="a"/>
    <w:uiPriority w:val="99"/>
  </w:style>
  <w:style w:type="paragraph" w:styleId="afe">
    <w:name w:val="footnote text"/>
    <w:basedOn w:val="a"/>
    <w:pPr>
      <w:ind w:firstLine="709"/>
    </w:pPr>
    <w:rPr>
      <w:sz w:val="20"/>
      <w:szCs w:val="20"/>
    </w:rPr>
  </w:style>
  <w:style w:type="paragraph" w:styleId="23">
    <w:name w:val="toc 2"/>
    <w:basedOn w:val="a"/>
    <w:pPr>
      <w:ind w:left="240"/>
    </w:pPr>
  </w:style>
  <w:style w:type="paragraph" w:styleId="13">
    <w:name w:val="toc 1"/>
    <w:basedOn w:val="a"/>
  </w:style>
  <w:style w:type="paragraph" w:customStyle="1" w:styleId="aff">
    <w:name w:val="Верхний колонтитул слева"/>
    <w:basedOn w:val="afd"/>
    <w:qFormat/>
    <w:pPr>
      <w:suppressLineNumbers/>
      <w:tabs>
        <w:tab w:val="center" w:pos="5031"/>
        <w:tab w:val="right" w:pos="10062"/>
      </w:tabs>
    </w:pPr>
  </w:style>
  <w:style w:type="paragraph" w:customStyle="1" w:styleId="aff0">
    <w:name w:val="Содержимое врезки"/>
    <w:basedOn w:val="a"/>
    <w:qFormat/>
    <w:pPr>
      <w:spacing w:before="0" w:after="0"/>
    </w:pPr>
  </w:style>
  <w:style w:type="paragraph" w:customStyle="1" w:styleId="aff1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f2">
    <w:name w:val="Balloon Text"/>
    <w:basedOn w:val="a"/>
    <w:uiPriority w:val="99"/>
    <w:semiHidden/>
    <w:unhideWhenUsed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4">
    <w:name w:val="List Number 2"/>
    <w:qFormat/>
    <w:pPr>
      <w:spacing w:after="120"/>
      <w:ind w:left="720" w:hanging="360"/>
    </w:pPr>
    <w:rPr>
      <w:color w:val="FFFFFF"/>
    </w:rPr>
  </w:style>
  <w:style w:type="paragraph" w:styleId="41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f3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f4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1">
    <w:name w:val="Табличный_таблица_11"/>
    <w:qFormat/>
    <w:pPr>
      <w:jc w:val="center"/>
    </w:pPr>
    <w:rPr>
      <w:rFonts w:ascii="Times New Roman" w:hAnsi="Times New Roman"/>
      <w:color w:val="000000"/>
      <w:sz w:val="22"/>
    </w:rPr>
  </w:style>
  <w:style w:type="paragraph" w:customStyle="1" w:styleId="ConsPlusNormal">
    <w:name w:val="ConsPlusNormal"/>
    <w:qFormat/>
    <w:pPr>
      <w:widowControl w:val="0"/>
    </w:pPr>
    <w:rPr>
      <w:rFonts w:ascii="Arial" w:eastAsia="Liberation Serif" w:hAnsi="Arial" w:cs="Liberation Serif"/>
      <w:sz w:val="16"/>
      <w:lang w:eastAsia="hi-IN"/>
    </w:rPr>
  </w:style>
  <w:style w:type="paragraph" w:styleId="aff5">
    <w:name w:val="List Paragraph"/>
    <w:basedOn w:val="a"/>
    <w:qFormat/>
    <w:pPr>
      <w:spacing w:before="0" w:after="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Минэкономразвития России от 09.01.2018 N 10(ред. от 06.10.2023)"Об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</vt:lpstr>
    </vt:vector>
  </TitlesOfParts>
  <Company>КонсультантПлюс Версия 4023.00.09</Company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09.01.2018 N 10(ред. от 06.10.2023)"Об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N 793"(Зарегистрировано в Минюсте России 31.01.2018 N 49832)</dc:title>
  <dc:creator>MSi1</dc:creator>
  <cp:lastModifiedBy>wiadmin</cp:lastModifiedBy>
  <cp:revision>427</cp:revision>
  <cp:lastPrinted>2025-05-27T07:46:00Z</cp:lastPrinted>
  <dcterms:created xsi:type="dcterms:W3CDTF">2024-03-05T12:25:00Z</dcterms:created>
  <dcterms:modified xsi:type="dcterms:W3CDTF">2025-05-27T07:48:00Z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4023.00.09</vt:lpwstr>
  </property>
</Properties>
</file>