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91E" w:rsidRDefault="004C1ED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91E" w:rsidRDefault="004C1EDB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E5291E" w:rsidRDefault="004C1EDB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5291E" w:rsidRDefault="00E5291E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E5291E" w:rsidRDefault="00E5291E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E5291E" w:rsidRDefault="004C1ED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5291E" w:rsidRDefault="00E5291E">
      <w:pPr>
        <w:tabs>
          <w:tab w:val="left" w:pos="709"/>
        </w:tabs>
        <w:jc w:val="center"/>
        <w:rPr>
          <w:sz w:val="28"/>
        </w:rPr>
      </w:pPr>
    </w:p>
    <w:p w:rsidR="00E5291E" w:rsidRDefault="00E5291E">
      <w:pPr>
        <w:tabs>
          <w:tab w:val="left" w:pos="709"/>
        </w:tabs>
        <w:jc w:val="center"/>
        <w:rPr>
          <w:sz w:val="28"/>
        </w:rPr>
      </w:pPr>
    </w:p>
    <w:p w:rsidR="00E5291E" w:rsidRDefault="004C1ED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B4A84">
        <w:rPr>
          <w:sz w:val="28"/>
        </w:rPr>
        <w:t>16</w:t>
      </w:r>
      <w:r>
        <w:rPr>
          <w:sz w:val="28"/>
        </w:rPr>
        <w:t>»</w:t>
      </w:r>
      <w:r w:rsidR="007B4A84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 </w:t>
      </w:r>
      <w:r w:rsidR="007B4A84">
        <w:rPr>
          <w:sz w:val="28"/>
        </w:rPr>
        <w:tab/>
      </w:r>
      <w:r w:rsidR="007B4A84">
        <w:rPr>
          <w:sz w:val="28"/>
        </w:rPr>
        <w:tab/>
      </w:r>
      <w:r w:rsidR="007B4A84">
        <w:rPr>
          <w:sz w:val="28"/>
        </w:rPr>
        <w:tab/>
      </w:r>
      <w:r>
        <w:rPr>
          <w:sz w:val="28"/>
        </w:rPr>
        <w:t xml:space="preserve">    № </w:t>
      </w:r>
      <w:r w:rsidR="007B4A84">
        <w:rPr>
          <w:sz w:val="28"/>
        </w:rPr>
        <w:t>371-п</w:t>
      </w:r>
    </w:p>
    <w:p w:rsidR="00E5291E" w:rsidRDefault="00E5291E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E5291E">
        <w:trPr>
          <w:trHeight w:val="3805"/>
        </w:trPr>
        <w:tc>
          <w:tcPr>
            <w:tcW w:w="9929" w:type="dxa"/>
          </w:tcPr>
          <w:p w:rsidR="00E5291E" w:rsidRDefault="00E5291E">
            <w:pPr>
              <w:tabs>
                <w:tab w:val="left" w:pos="709"/>
              </w:tabs>
              <w:jc w:val="center"/>
              <w:rPr>
                <w:color w:val="auto"/>
                <w:sz w:val="28"/>
                <w:highlight w:val="white"/>
              </w:rPr>
            </w:pPr>
          </w:p>
          <w:p w:rsidR="00E5291E" w:rsidRDefault="004C1EDB">
            <w:pPr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–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Михайловский муниципальный округ Рязанской области применительно к территориям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Щетининского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сельского округа, г. Михайлов, </w:t>
            </w:r>
          </w:p>
          <w:p w:rsidR="00E5291E" w:rsidRDefault="004C1EDB">
            <w:pPr>
              <w:tabs>
                <w:tab w:val="left" w:pos="709"/>
              </w:tabs>
              <w:jc w:val="center"/>
              <w:rPr>
                <w:rFonts w:eastAsia="Times New Roman" w:cs="Times New Roman"/>
                <w:color w:val="auto"/>
                <w:sz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Зайчино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д. Зикеево, с.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Козловка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д.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Колчев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п. 10-й год Октября, с.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Помозово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  <w:t xml:space="preserve">с прилегающей территорией в кадастровых кварталах 62:08:0012306, 62:08:0023803, 62:08:0023807, 62:08:0045901, 62:08:0060309, 62:08:0045903, 62:08:0045905, 62:08:0045906 за исключением территории, расположенной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  <w:t>в границ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ах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Трепольского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Виленского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Стрелецко-Высельского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Горностаевского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Голдинского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сельских округов Михайловского района Рязанской области</w:t>
            </w:r>
          </w:p>
          <w:bookmarkEnd w:id="0"/>
          <w:p w:rsidR="00E5291E" w:rsidRDefault="00E5291E">
            <w:pPr>
              <w:tabs>
                <w:tab w:val="left" w:pos="709"/>
              </w:tabs>
              <w:jc w:val="center"/>
              <w:rPr>
                <w:color w:val="auto"/>
                <w:sz w:val="28"/>
                <w:highlight w:val="white"/>
              </w:rPr>
            </w:pPr>
          </w:p>
        </w:tc>
      </w:tr>
      <w:tr w:rsidR="00E5291E">
        <w:tc>
          <w:tcPr>
            <w:tcW w:w="9929" w:type="dxa"/>
          </w:tcPr>
          <w:p w:rsidR="00E5291E" w:rsidRDefault="004C1EDB">
            <w:pPr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На основании статьи 31 Градостроительного кодекса Российской Федерации, статьи 2 Закона Рязанской области от 28.12.2</w:t>
            </w:r>
            <w:r>
              <w:rPr>
                <w:color w:val="000000" w:themeColor="text1"/>
                <w:sz w:val="28"/>
                <w:highlight w:val="white"/>
              </w:rPr>
              <w:t xml:space="preserve">018 № 106-ОЗ </w:t>
            </w:r>
            <w:r>
              <w:rPr>
                <w:color w:val="000000" w:themeColor="text1"/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</w:t>
            </w:r>
            <w:r>
              <w:rPr>
                <w:color w:val="000000" w:themeColor="text1"/>
                <w:sz w:val="28"/>
                <w:highlight w:val="white"/>
              </w:rPr>
              <w:t>сии п</w:t>
            </w:r>
            <w:r>
              <w:rPr>
                <w:color w:val="000000" w:themeColor="text1"/>
                <w:sz w:val="28"/>
              </w:rPr>
              <w:t>о территориальному планированию, землепользованию и застройке Рязанской области от 25</w:t>
            </w:r>
            <w:hyperlink r:id="rId8" w:tooltip="http://22.03.2024" w:history="1">
              <w:r>
                <w:rPr>
                  <w:color w:val="000000" w:themeColor="text1"/>
                  <w:sz w:val="28"/>
                  <w:highlight w:val="white"/>
                </w:rPr>
                <w:t>.04.2025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руко</w:t>
            </w:r>
            <w:r>
              <w:rPr>
                <w:color w:val="000000" w:themeColor="text1"/>
                <w:sz w:val="28"/>
              </w:rPr>
              <w:t>в</w:t>
            </w:r>
            <w:r>
              <w:rPr>
                <w:color w:val="000000" w:themeColor="text1"/>
                <w:sz w:val="28"/>
                <w:highlight w:val="white"/>
              </w:rPr>
              <w:t xml:space="preserve">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highlight w:val="white"/>
              </w:rPr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E5291E" w:rsidRDefault="004C1ED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highlight w:val="white"/>
              </w:rPr>
              <w:t xml:space="preserve">и застройки муниципального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Михайловский муниципальный округ Рязанской области применительно к территориям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Щетининского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сельского округа, г. Михайлов, с.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Зайчино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д. Зикеево, с.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Козловка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д.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Колчево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п. 10-й год Октября, с.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Помозово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с прилегаю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щей территорией в кадастровых кварталах 62:08:0012306, 62:08:0023803, 62:08:0023807, 62:08:0045901, 62:08:0060309, 62:08:0045903, 62:08:0045905, 62:08:0045906 за исключением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территории, расположенной в границах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Трепольского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Виленского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Стрелецко-Высельско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Горностаевского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Голдинского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сельских округов Михайловского района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 xml:space="preserve"> (далее – проект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>и застройки).</w:t>
            </w:r>
          </w:p>
          <w:p w:rsidR="00E5291E" w:rsidRDefault="004C1EDB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color w:val="000000" w:themeColor="text1"/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</w:t>
            </w:r>
            <w:r>
              <w:rPr>
                <w:color w:val="000000" w:themeColor="text1"/>
                <w:sz w:val="28"/>
                <w:highlight w:val="white"/>
              </w:rPr>
              <w:t>бласти»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E5291E" w:rsidRDefault="004C1EDB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color w:val="000000" w:themeColor="text1"/>
                <w:sz w:val="28"/>
                <w:highlight w:val="white"/>
              </w:rPr>
              <w:t>правил землепользования и застройки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ия Рязанской области» в течение двенадцати календарных дней с даты опубликования настоящего постановления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E5291E" w:rsidRDefault="004C1ED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правил землепользования 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застройки </w:t>
            </w:r>
            <w:r>
              <w:rPr>
                <w:color w:val="000000" w:themeColor="text1"/>
                <w:sz w:val="28"/>
                <w:szCs w:val="28"/>
              </w:rPr>
              <w:t>на общественных обсуждениях (публичных слушаниях) в установленный законодательством срок и порядке.</w:t>
            </w:r>
          </w:p>
          <w:p w:rsidR="00E5291E" w:rsidRDefault="004C1ED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</w:t>
            </w:r>
            <w:r>
              <w:rPr>
                <w:color w:val="000000" w:themeColor="text1"/>
                <w:sz w:val="28"/>
              </w:rPr>
              <w:t>кадровой работы и делопроизводства обеспечить:</w:t>
            </w:r>
          </w:p>
          <w:p w:rsidR="00E5291E" w:rsidRDefault="004C1EDB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1)    </w:t>
            </w:r>
            <w:r>
              <w:rPr>
                <w:color w:val="000000" w:themeColor="text1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</w:t>
            </w:r>
            <w:r>
              <w:rPr>
                <w:color w:val="000000" w:themeColor="text1"/>
                <w:sz w:val="28"/>
                <w:szCs w:val="28"/>
              </w:rPr>
              <w:t xml:space="preserve">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E5291E" w:rsidRDefault="004C1EDB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</w:t>
            </w:r>
            <w:r>
              <w:rPr>
                <w:color w:val="000000" w:themeColor="text1"/>
                <w:sz w:val="28"/>
              </w:rPr>
              <w:t xml:space="preserve">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E5291E" w:rsidRDefault="004C1ED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информационного обеспечени</w:t>
            </w:r>
            <w:r>
              <w:rPr>
                <w:color w:val="000000" w:themeColor="text1"/>
                <w:sz w:val="28"/>
                <w:highlight w:val="white"/>
              </w:rPr>
              <w:t>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ернет».</w:t>
            </w:r>
          </w:p>
          <w:p w:rsidR="00E5291E" w:rsidRDefault="004C1ED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Предложить главе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Михайловского муниципального округа Рязанской област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обеспечить размещение настоящего постановления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E5291E" w:rsidRDefault="004C1ED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color w:val="000000" w:themeColor="text1"/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E5291E" w:rsidRDefault="00E5291E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E5291E" w:rsidRDefault="00E5291E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E5291E">
        <w:tc>
          <w:tcPr>
            <w:tcW w:w="9929" w:type="dxa"/>
          </w:tcPr>
          <w:p w:rsidR="00E5291E" w:rsidRDefault="004C1EDB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E5291E" w:rsidRDefault="00E5291E">
            <w:pPr>
              <w:pStyle w:val="27"/>
              <w:tabs>
                <w:tab w:val="left" w:pos="709"/>
              </w:tabs>
              <w:jc w:val="left"/>
            </w:pPr>
          </w:p>
          <w:p w:rsidR="00E5291E" w:rsidRDefault="00E5291E">
            <w:pPr>
              <w:tabs>
                <w:tab w:val="left" w:pos="709"/>
              </w:tabs>
              <w:rPr>
                <w:sz w:val="28"/>
              </w:rPr>
            </w:pPr>
          </w:p>
          <w:p w:rsidR="00E5291E" w:rsidRDefault="00E5291E">
            <w:pPr>
              <w:tabs>
                <w:tab w:val="left" w:pos="709"/>
              </w:tabs>
              <w:rPr>
                <w:sz w:val="28"/>
              </w:rPr>
            </w:pPr>
          </w:p>
          <w:p w:rsidR="00E5291E" w:rsidRDefault="00E5291E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E5291E" w:rsidRDefault="00E5291E"/>
    <w:p w:rsidR="00E5291E" w:rsidRDefault="00E5291E">
      <w:pPr>
        <w:tabs>
          <w:tab w:val="left" w:pos="709"/>
        </w:tabs>
        <w:jc w:val="both"/>
        <w:rPr>
          <w:sz w:val="28"/>
        </w:rPr>
      </w:pPr>
    </w:p>
    <w:p w:rsidR="00E5291E" w:rsidRDefault="00E5291E">
      <w:pPr>
        <w:tabs>
          <w:tab w:val="left" w:pos="709"/>
        </w:tabs>
        <w:jc w:val="both"/>
        <w:rPr>
          <w:sz w:val="28"/>
        </w:rPr>
      </w:pPr>
    </w:p>
    <w:p w:rsidR="00E5291E" w:rsidRDefault="00E5291E">
      <w:pPr>
        <w:spacing w:line="216" w:lineRule="auto"/>
        <w:contextualSpacing/>
        <w:jc w:val="both"/>
        <w:rPr>
          <w:sz w:val="24"/>
        </w:rPr>
      </w:pPr>
    </w:p>
    <w:p w:rsidR="00E5291E" w:rsidRDefault="00E5291E">
      <w:pPr>
        <w:spacing w:line="216" w:lineRule="auto"/>
        <w:contextualSpacing/>
        <w:jc w:val="both"/>
        <w:rPr>
          <w:sz w:val="24"/>
          <w:highlight w:val="yellow"/>
        </w:rPr>
      </w:pPr>
    </w:p>
    <w:sectPr w:rsidR="00E5291E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EDB" w:rsidRDefault="004C1EDB">
      <w:pPr>
        <w:pStyle w:val="32"/>
      </w:pPr>
      <w:r>
        <w:separator/>
      </w:r>
    </w:p>
  </w:endnote>
  <w:endnote w:type="continuationSeparator" w:id="0">
    <w:p w:rsidR="004C1EDB" w:rsidRDefault="004C1EDB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EDB" w:rsidRDefault="004C1EDB">
      <w:pPr>
        <w:pStyle w:val="32"/>
      </w:pPr>
      <w:r>
        <w:separator/>
      </w:r>
    </w:p>
  </w:footnote>
  <w:footnote w:type="continuationSeparator" w:id="0">
    <w:p w:rsidR="004C1EDB" w:rsidRDefault="004C1EDB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91E" w:rsidRDefault="004C1EDB">
    <w:pPr>
      <w:pStyle w:val="ad"/>
      <w:jc w:val="center"/>
      <w:rPr>
        <w:sz w:val="28"/>
      </w:rPr>
    </w:pPr>
    <w:r>
      <w:rPr>
        <w:sz w:val="28"/>
      </w:rPr>
      <w:t>2</w:t>
    </w:r>
  </w:p>
  <w:p w:rsidR="00E5291E" w:rsidRDefault="00E5291E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41EA6"/>
    <w:multiLevelType w:val="multilevel"/>
    <w:tmpl w:val="D134610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1E"/>
    <w:rsid w:val="004C1EDB"/>
    <w:rsid w:val="007B4A84"/>
    <w:rsid w:val="00E5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31EA"/>
  <w15:docId w15:val="{9D80FF28-F222-41A6-AE1E-B49A6BCE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f">
    <w:name w:val="footer"/>
    <w:link w:val="ae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.03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3597</Characters>
  <Application>Microsoft Office Word</Application>
  <DocSecurity>0</DocSecurity>
  <Lines>29</Lines>
  <Paragraphs>8</Paragraphs>
  <ScaleCrop>false</ScaleCrop>
  <Company>Microsoft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121</cp:revision>
  <dcterms:created xsi:type="dcterms:W3CDTF">2021-12-02T15:09:00Z</dcterms:created>
  <dcterms:modified xsi:type="dcterms:W3CDTF">2025-05-16T09:13:00Z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