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ABB" w:rsidRDefault="002D1E8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3ABB" w:rsidRDefault="002D1E88">
      <w:pPr>
        <w:pStyle w:val="a9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013ABB" w:rsidRDefault="002D1E88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13ABB" w:rsidRDefault="00013ABB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013ABB" w:rsidRDefault="00013ABB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013ABB" w:rsidRDefault="002D1E8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13ABB" w:rsidRDefault="00013ABB">
      <w:pPr>
        <w:tabs>
          <w:tab w:val="left" w:pos="709"/>
        </w:tabs>
        <w:jc w:val="center"/>
        <w:rPr>
          <w:sz w:val="28"/>
        </w:rPr>
      </w:pPr>
    </w:p>
    <w:p w:rsidR="00013ABB" w:rsidRDefault="00013ABB">
      <w:pPr>
        <w:tabs>
          <w:tab w:val="left" w:pos="709"/>
        </w:tabs>
        <w:jc w:val="center"/>
        <w:rPr>
          <w:sz w:val="28"/>
        </w:rPr>
      </w:pPr>
    </w:p>
    <w:p w:rsidR="00013ABB" w:rsidRDefault="002D1E8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E2A31">
        <w:rPr>
          <w:sz w:val="28"/>
        </w:rPr>
        <w:t>22</w:t>
      </w:r>
      <w:r>
        <w:rPr>
          <w:sz w:val="28"/>
        </w:rPr>
        <w:t>»</w:t>
      </w:r>
      <w:r w:rsidR="006E2A31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     </w:t>
      </w:r>
      <w:r w:rsidR="006E2A31">
        <w:rPr>
          <w:sz w:val="28"/>
        </w:rPr>
        <w:t xml:space="preserve">                           </w:t>
      </w:r>
      <w:bookmarkStart w:id="0" w:name="_GoBack"/>
      <w:bookmarkEnd w:id="0"/>
      <w:r>
        <w:rPr>
          <w:sz w:val="28"/>
        </w:rPr>
        <w:t xml:space="preserve">№ </w:t>
      </w:r>
      <w:r w:rsidR="006E2A31">
        <w:rPr>
          <w:sz w:val="28"/>
        </w:rPr>
        <w:t>401-п</w:t>
      </w:r>
    </w:p>
    <w:p w:rsidR="00013ABB" w:rsidRDefault="00013ABB">
      <w:pPr>
        <w:tabs>
          <w:tab w:val="left" w:pos="709"/>
        </w:tabs>
        <w:jc w:val="both"/>
        <w:rPr>
          <w:sz w:val="28"/>
        </w:rPr>
      </w:pPr>
    </w:p>
    <w:p w:rsidR="00013ABB" w:rsidRDefault="00013ABB">
      <w:pPr>
        <w:tabs>
          <w:tab w:val="left" w:pos="709"/>
        </w:tabs>
        <w:jc w:val="both"/>
        <w:rPr>
          <w:color w:val="auto"/>
          <w:sz w:val="28"/>
        </w:rPr>
      </w:pPr>
    </w:p>
    <w:p w:rsidR="00013ABB" w:rsidRDefault="002D1E88">
      <w:pPr>
        <w:widowControl w:val="0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Криушинское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</w:rPr>
        <w:t>Клепиковского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</w:t>
      </w:r>
    </w:p>
    <w:p w:rsidR="00013ABB" w:rsidRDefault="002D1E88">
      <w:pPr>
        <w:widowControl w:val="0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>Рязанской области</w:t>
      </w:r>
    </w:p>
    <w:p w:rsidR="00013ABB" w:rsidRDefault="00013ABB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013ABB" w:rsidRDefault="002D1E88">
      <w:pPr>
        <w:widowControl w:val="0"/>
        <w:tabs>
          <w:tab w:val="left" w:pos="709"/>
        </w:tabs>
        <w:ind w:firstLine="709"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</w:t>
      </w:r>
      <w:r>
        <w:rPr>
          <w:color w:val="auto"/>
          <w:sz w:val="28"/>
          <w:szCs w:val="28"/>
        </w:rPr>
        <w:t>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color w:val="auto"/>
          <w:sz w:val="28"/>
          <w:szCs w:val="28"/>
        </w:rPr>
        <w:t xml:space="preserve"> Рязанской области»,</w:t>
      </w:r>
      <w:r>
        <w:rPr>
          <w:color w:val="auto"/>
          <w:sz w:val="28"/>
        </w:rPr>
        <w:t xml:space="preserve"> руководствуясь постановлениями Правительства Рязанской област</w:t>
      </w:r>
      <w:r>
        <w:rPr>
          <w:sz w:val="28"/>
        </w:rPr>
        <w:t xml:space="preserve">и </w:t>
      </w:r>
      <w:r>
        <w:rPr>
          <w:sz w:val="28"/>
        </w:rPr>
        <w:br/>
      </w:r>
      <w:r>
        <w:rPr>
          <w:sz w:val="28"/>
          <w:highlight w:val="white"/>
        </w:rPr>
        <w:t>от 06.09.2022 № 320 «О реализации положений пункта 2 статьи 7 Федерального закона от 14.03.2022 № 58-ФЗ «О внесении изменений в отдельные законодательные акты Российской Ф</w:t>
      </w:r>
      <w:r>
        <w:rPr>
          <w:sz w:val="28"/>
          <w:highlight w:val="white"/>
        </w:rPr>
        <w:t>едерации»</w:t>
      </w:r>
      <w:r>
        <w:rPr>
          <w:color w:val="auto"/>
          <w:sz w:val="28"/>
          <w:szCs w:val="28"/>
        </w:rPr>
        <w:t xml:space="preserve">,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 главное управление а</w:t>
      </w:r>
      <w:r>
        <w:rPr>
          <w:color w:val="auto"/>
          <w:sz w:val="28"/>
          <w:szCs w:val="28"/>
          <w:highlight w:val="white"/>
        </w:rPr>
        <w:t xml:space="preserve">рхитектуры </w:t>
      </w:r>
      <w:r>
        <w:rPr>
          <w:color w:val="auto"/>
          <w:sz w:val="28"/>
          <w:szCs w:val="28"/>
          <w:highlight w:val="white"/>
        </w:rPr>
        <w:br/>
        <w:t>и градостроительства Рязанской области ПОСТАНОВЛЯЕТ:</w:t>
      </w:r>
    </w:p>
    <w:p w:rsidR="00013ABB" w:rsidRDefault="002D1E88">
      <w:pPr>
        <w:pStyle w:val="a7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Внести изменения в генеральный план му</w:t>
      </w:r>
      <w:r>
        <w:rPr>
          <w:color w:val="000000" w:themeColor="text1"/>
          <w:sz w:val="28"/>
          <w:szCs w:val="28"/>
          <w:highlight w:val="white"/>
        </w:rPr>
        <w:t xml:space="preserve">ниципального образования – </w:t>
      </w:r>
      <w:proofErr w:type="spellStart"/>
      <w:r>
        <w:rPr>
          <w:color w:val="000000" w:themeColor="text1"/>
          <w:sz w:val="28"/>
          <w:szCs w:val="28"/>
          <w:highlight w:val="white"/>
        </w:rPr>
        <w:t>Криушинское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  <w:highlight w:val="white"/>
        </w:rPr>
        <w:t>Клепиковского</w:t>
      </w:r>
      <w:proofErr w:type="spellEnd"/>
      <w:r>
        <w:rPr>
          <w:rFonts w:eastAsia="Times New Roman" w:cs="Times New Roman"/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муниципального района Рязанской области, утвержденный решением Совета депутатов муниципального </w:t>
      </w:r>
      <w:r>
        <w:rPr>
          <w:color w:val="000000" w:themeColor="text1"/>
          <w:sz w:val="28"/>
          <w:szCs w:val="28"/>
          <w:highlight w:val="white"/>
        </w:rPr>
        <w:br/>
        <w:t xml:space="preserve">образования – </w:t>
      </w:r>
      <w:proofErr w:type="spellStart"/>
      <w:r>
        <w:rPr>
          <w:color w:val="000000" w:themeColor="text1"/>
          <w:sz w:val="28"/>
          <w:szCs w:val="28"/>
          <w:highlight w:val="white"/>
        </w:rPr>
        <w:t>Криушинское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  <w:highlight w:val="white"/>
        </w:rPr>
        <w:t>Клепиковского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муниципального района Рязанск</w:t>
      </w:r>
      <w:r>
        <w:rPr>
          <w:color w:val="000000" w:themeColor="text1"/>
          <w:sz w:val="28"/>
          <w:szCs w:val="28"/>
          <w:highlight w:val="white"/>
        </w:rPr>
        <w:t xml:space="preserve">ой области от 27.02.2014 № 13 «Об утверждении Генерального плана муниципального образования – </w:t>
      </w:r>
      <w:proofErr w:type="spellStart"/>
      <w:r>
        <w:rPr>
          <w:color w:val="000000" w:themeColor="text1"/>
          <w:sz w:val="28"/>
          <w:szCs w:val="28"/>
          <w:highlight w:val="white"/>
        </w:rPr>
        <w:t>Криушинское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  <w:highlight w:val="white"/>
        </w:rPr>
        <w:t>Клепиковского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муниципального района»</w:t>
      </w:r>
      <w:r>
        <w:rPr>
          <w:color w:val="000000" w:themeColor="text1"/>
          <w:sz w:val="28"/>
          <w:szCs w:val="28"/>
        </w:rPr>
        <w:t>, дополнив приложением согласно приложению к настоящему постановлению.</w:t>
      </w:r>
    </w:p>
    <w:p w:rsidR="00013ABB" w:rsidRDefault="002D1E88">
      <w:pPr>
        <w:pStyle w:val="a7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13ABB" w:rsidRDefault="002D1E88">
      <w:pPr>
        <w:pStyle w:val="a7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013ABB" w:rsidRDefault="002D1E88">
      <w:pPr>
        <w:pStyle w:val="a7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1) обеспечить доступ к изменениям в </w:t>
      </w:r>
      <w:r>
        <w:rPr>
          <w:color w:val="000000" w:themeColor="text1"/>
          <w:sz w:val="28"/>
        </w:rPr>
        <w:t xml:space="preserve">генеральный план муниципального </w:t>
      </w:r>
      <w:r>
        <w:rPr>
          <w:color w:val="000000" w:themeColor="text1"/>
          <w:sz w:val="28"/>
        </w:rPr>
        <w:br/>
        <w:t xml:space="preserve">образования – </w:t>
      </w:r>
      <w:proofErr w:type="spellStart"/>
      <w:r>
        <w:rPr>
          <w:color w:val="000000" w:themeColor="text1"/>
          <w:sz w:val="28"/>
        </w:rPr>
        <w:t>Криушинское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</w:rPr>
        <w:t>Клепиковского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</w:t>
      </w:r>
      <w:r>
        <w:rPr>
          <w:color w:val="000000" w:themeColor="text1"/>
          <w:sz w:val="28"/>
          <w:szCs w:val="28"/>
        </w:rPr>
        <w:lastRenderedPageBreak/>
        <w:t>системе территориального планирования и размещение в государственных информацио</w:t>
      </w:r>
      <w:r>
        <w:rPr>
          <w:color w:val="000000" w:themeColor="text1"/>
          <w:sz w:val="28"/>
          <w:szCs w:val="28"/>
        </w:rPr>
        <w:t>нных системах обеспечения градостроительной деятельности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013ABB" w:rsidRDefault="002D1E88">
      <w:pPr>
        <w:pStyle w:val="a7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</w:t>
      </w:r>
      <w:r>
        <w:rPr>
          <w:rFonts w:cs="Times New Roman"/>
          <w:color w:val="000000" w:themeColor="text1"/>
          <w:sz w:val="28"/>
          <w:szCs w:val="28"/>
        </w:rPr>
        <w:t>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</w:t>
      </w:r>
      <w:r>
        <w:rPr>
          <w:rFonts w:cs="Times New Roman"/>
          <w:color w:val="000000" w:themeColor="text1"/>
          <w:sz w:val="28"/>
          <w:szCs w:val="28"/>
        </w:rPr>
        <w:t xml:space="preserve">х пунктов для внесения в Единый государственный реестр недвижимости в соответствии с Федеральным законом </w:t>
      </w:r>
      <w:r>
        <w:rPr>
          <w:rFonts w:cs="Times New Roman"/>
          <w:color w:val="000000" w:themeColor="text1"/>
          <w:sz w:val="28"/>
          <w:szCs w:val="28"/>
        </w:rPr>
        <w:br/>
        <w:t>от 13.07.2015 № 218-ФЗ «О государственной 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013ABB" w:rsidRDefault="002D1E88">
      <w:pPr>
        <w:pStyle w:val="a7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013ABB" w:rsidRDefault="002D1E88">
      <w:pPr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1)   государственную регист</w:t>
      </w:r>
      <w:r>
        <w:rPr>
          <w:color w:val="000000" w:themeColor="text1"/>
          <w:sz w:val="28"/>
          <w:szCs w:val="28"/>
        </w:rPr>
        <w:t>рацию настоящего постановления в правовом департаменте аппарата Губернатора и Правительства Рязанской области;</w:t>
      </w:r>
    </w:p>
    <w:p w:rsidR="00013ABB" w:rsidRDefault="002D1E88">
      <w:pPr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</w:t>
      </w:r>
      <w:r>
        <w:rPr>
          <w:color w:val="000000" w:themeColor="text1"/>
          <w:sz w:val="28"/>
          <w:szCs w:val="28"/>
        </w:rPr>
        <w:t>нформации (www.pravo.gov.ru).</w:t>
      </w:r>
    </w:p>
    <w:p w:rsidR="00013ABB" w:rsidRDefault="002D1E88">
      <w:pPr>
        <w:pStyle w:val="a7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013ABB" w:rsidRDefault="002D1E88">
      <w:pPr>
        <w:pStyle w:val="a7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Предложить гла</w:t>
      </w:r>
      <w:r>
        <w:rPr>
          <w:color w:val="000000" w:themeColor="text1"/>
          <w:sz w:val="28"/>
          <w:szCs w:val="28"/>
        </w:rPr>
        <w:t xml:space="preserve">ве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Клепиковский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Криушинское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</w:rPr>
        <w:t>Клепиковского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</w:t>
      </w:r>
      <w:r>
        <w:rPr>
          <w:color w:val="000000" w:themeColor="text1"/>
          <w:sz w:val="28"/>
          <w:szCs w:val="28"/>
        </w:rPr>
        <w:t>ициальном сайте муниципального образования в сети «Интернет», публикацию в средствах массовой информации.</w:t>
      </w:r>
    </w:p>
    <w:p w:rsidR="00013ABB" w:rsidRDefault="002D1E88">
      <w:pPr>
        <w:pStyle w:val="a7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 за исполнением настоящего постановления возложить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</w:t>
      </w:r>
      <w:r>
        <w:rPr>
          <w:color w:val="000000" w:themeColor="text1"/>
          <w:sz w:val="28"/>
          <w:szCs w:val="28"/>
        </w:rPr>
        <w:t>ласти Т.С. Попкову.</w:t>
      </w:r>
    </w:p>
    <w:p w:rsidR="00013ABB" w:rsidRDefault="00013ABB">
      <w:pPr>
        <w:tabs>
          <w:tab w:val="left" w:pos="1418"/>
        </w:tabs>
        <w:ind w:firstLine="851"/>
        <w:jc w:val="both"/>
        <w:rPr>
          <w:color w:val="000000" w:themeColor="text1"/>
          <w:sz w:val="28"/>
        </w:rPr>
      </w:pPr>
    </w:p>
    <w:p w:rsidR="00013ABB" w:rsidRDefault="00013ABB">
      <w:pPr>
        <w:tabs>
          <w:tab w:val="left" w:pos="1418"/>
        </w:tabs>
        <w:jc w:val="both"/>
        <w:rPr>
          <w:color w:val="000000" w:themeColor="text1"/>
          <w:sz w:val="28"/>
          <w:highlight w:val="yellow"/>
        </w:rPr>
      </w:pPr>
    </w:p>
    <w:p w:rsidR="00013ABB" w:rsidRDefault="002D1E88">
      <w:pPr>
        <w:tabs>
          <w:tab w:val="left" w:pos="1418"/>
        </w:tabs>
        <w:jc w:val="both"/>
        <w:rPr>
          <w:rFonts w:eastAsia="Times New Roman" w:cs="Times New Roman"/>
          <w:color w:val="000000" w:themeColor="text1"/>
          <w:sz w:val="28"/>
          <w:highlight w:val="yellow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013ABB" w:rsidRDefault="00013ABB">
      <w:pPr>
        <w:tabs>
          <w:tab w:val="left" w:pos="709"/>
        </w:tabs>
        <w:jc w:val="both"/>
        <w:rPr>
          <w:color w:val="000000" w:themeColor="text1"/>
          <w:sz w:val="28"/>
          <w:highlight w:val="yellow"/>
        </w:rPr>
      </w:pPr>
    </w:p>
    <w:p w:rsidR="00013ABB" w:rsidRDefault="00013ABB">
      <w:pPr>
        <w:tabs>
          <w:tab w:val="left" w:pos="709"/>
        </w:tabs>
        <w:jc w:val="both"/>
        <w:rPr>
          <w:color w:val="000000" w:themeColor="text1"/>
          <w:sz w:val="28"/>
          <w:highlight w:val="yellow"/>
        </w:rPr>
      </w:pPr>
    </w:p>
    <w:p w:rsidR="00013ABB" w:rsidRDefault="00013ABB">
      <w:pPr>
        <w:tabs>
          <w:tab w:val="left" w:pos="709"/>
        </w:tabs>
        <w:jc w:val="both"/>
        <w:rPr>
          <w:color w:val="000000" w:themeColor="text1"/>
          <w:sz w:val="28"/>
          <w:highlight w:val="yellow"/>
        </w:rPr>
      </w:pPr>
    </w:p>
    <w:p w:rsidR="00013ABB" w:rsidRDefault="00013ABB">
      <w:pPr>
        <w:tabs>
          <w:tab w:val="left" w:pos="709"/>
        </w:tabs>
        <w:jc w:val="both"/>
        <w:rPr>
          <w:color w:val="000000" w:themeColor="text1"/>
          <w:sz w:val="28"/>
          <w:highlight w:val="yellow"/>
        </w:rPr>
      </w:pPr>
    </w:p>
    <w:p w:rsidR="00013ABB" w:rsidRDefault="00013ABB">
      <w:pPr>
        <w:tabs>
          <w:tab w:val="left" w:pos="709"/>
        </w:tabs>
        <w:jc w:val="both"/>
        <w:rPr>
          <w:color w:val="000000" w:themeColor="text1"/>
          <w:sz w:val="28"/>
          <w:highlight w:val="yellow"/>
        </w:rPr>
      </w:pPr>
    </w:p>
    <w:p w:rsidR="00013ABB" w:rsidRDefault="00013ABB">
      <w:pPr>
        <w:tabs>
          <w:tab w:val="left" w:pos="709"/>
        </w:tabs>
        <w:jc w:val="both"/>
        <w:rPr>
          <w:color w:val="000000" w:themeColor="text1"/>
          <w:sz w:val="28"/>
          <w:highlight w:val="yellow"/>
        </w:rPr>
      </w:pPr>
    </w:p>
    <w:p w:rsidR="00013ABB" w:rsidRDefault="00013ABB">
      <w:pPr>
        <w:tabs>
          <w:tab w:val="left" w:pos="709"/>
        </w:tabs>
        <w:jc w:val="both"/>
        <w:rPr>
          <w:color w:val="000000" w:themeColor="text1"/>
          <w:sz w:val="28"/>
          <w:highlight w:val="yellow"/>
        </w:rPr>
      </w:pPr>
    </w:p>
    <w:p w:rsidR="00013ABB" w:rsidRDefault="00013ABB">
      <w:pPr>
        <w:tabs>
          <w:tab w:val="left" w:pos="709"/>
        </w:tabs>
        <w:jc w:val="both"/>
        <w:rPr>
          <w:color w:val="000000" w:themeColor="text1"/>
          <w:sz w:val="28"/>
          <w:highlight w:val="yellow"/>
        </w:rPr>
      </w:pPr>
    </w:p>
    <w:p w:rsidR="00013ABB" w:rsidRDefault="00013ABB">
      <w:pPr>
        <w:tabs>
          <w:tab w:val="left" w:pos="709"/>
        </w:tabs>
        <w:jc w:val="both"/>
        <w:rPr>
          <w:color w:val="000000" w:themeColor="text1"/>
          <w:sz w:val="28"/>
          <w:highlight w:val="yellow"/>
        </w:rPr>
      </w:pPr>
    </w:p>
    <w:p w:rsidR="00013ABB" w:rsidRDefault="00013ABB">
      <w:pPr>
        <w:tabs>
          <w:tab w:val="left" w:pos="709"/>
        </w:tabs>
        <w:jc w:val="both"/>
        <w:rPr>
          <w:color w:val="000000" w:themeColor="text1"/>
          <w:sz w:val="28"/>
          <w:highlight w:val="yellow"/>
        </w:rPr>
      </w:pPr>
    </w:p>
    <w:p w:rsidR="00013ABB" w:rsidRDefault="00013ABB">
      <w:pPr>
        <w:tabs>
          <w:tab w:val="left" w:pos="709"/>
        </w:tabs>
        <w:jc w:val="both"/>
        <w:rPr>
          <w:color w:val="000000" w:themeColor="text1"/>
          <w:sz w:val="28"/>
          <w:highlight w:val="yellow"/>
        </w:rPr>
      </w:pPr>
    </w:p>
    <w:sectPr w:rsidR="00013ABB">
      <w:headerReference w:type="default" r:id="rId8"/>
      <w:headerReference w:type="first" r:id="rId9"/>
      <w:pgSz w:w="11906" w:h="16838"/>
      <w:pgMar w:top="907" w:right="567" w:bottom="794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E88" w:rsidRDefault="002D1E88">
      <w:r>
        <w:separator/>
      </w:r>
    </w:p>
  </w:endnote>
  <w:endnote w:type="continuationSeparator" w:id="0">
    <w:p w:rsidR="002D1E88" w:rsidRDefault="002D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E88" w:rsidRDefault="002D1E88">
      <w:r>
        <w:separator/>
      </w:r>
    </w:p>
  </w:footnote>
  <w:footnote w:type="continuationSeparator" w:id="0">
    <w:p w:rsidR="002D1E88" w:rsidRDefault="002D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ABB" w:rsidRDefault="00013ABB">
    <w:pPr>
      <w:pStyle w:val="af3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ABB" w:rsidRDefault="00013ABB">
    <w:pPr>
      <w:pStyle w:val="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5ABA"/>
    <w:multiLevelType w:val="hybridMultilevel"/>
    <w:tmpl w:val="BB24D548"/>
    <w:lvl w:ilvl="0" w:tplc="C8E6B8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990D6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B3E7F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81817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3E4DF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45E07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3AE08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C0CBE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AF035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F22387"/>
    <w:multiLevelType w:val="hybridMultilevel"/>
    <w:tmpl w:val="482E7666"/>
    <w:lvl w:ilvl="0" w:tplc="A1A81F68">
      <w:start w:val="1"/>
      <w:numFmt w:val="none"/>
      <w:pStyle w:val="10user"/>
      <w:isLgl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B4C0BF0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CAE59CE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4D0537E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428B6A8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7844592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71CD268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DF2E186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20C5A1A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FE29B4"/>
    <w:multiLevelType w:val="multilevel"/>
    <w:tmpl w:val="F39A164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BB"/>
    <w:rsid w:val="00013ABB"/>
    <w:rsid w:val="002D1E88"/>
    <w:rsid w:val="006E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9B05"/>
  <w15:docId w15:val="{29A42AA2-58FD-4894-B6EE-9C2E4E05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иперссылка1"/>
    <w:rPr>
      <w:rFonts w:ascii="Calibri" w:hAnsi="Calibri"/>
      <w:color w:val="0000FF"/>
      <w:u w:val="single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customStyle="1" w:styleId="11">
    <w:name w:val="Знак сноски1"/>
    <w:rPr>
      <w:vertAlign w:val="superscript"/>
    </w:rPr>
  </w:style>
  <w:style w:type="character" w:customStyle="1" w:styleId="a4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12">
    <w:name w:val="Знак концевой сноски1"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3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3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4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6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7">
    <w:name w:val="Нижний колонтитул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9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a">
    <w:name w:val="Верхний колонтитул1"/>
    <w:qFormat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b">
    <w:name w:val="Указатель1"/>
    <w:qFormat/>
  </w:style>
  <w:style w:type="character" w:customStyle="1" w:styleId="1c">
    <w:name w:val="Список1"/>
    <w:basedOn w:val="Textbody"/>
    <w:qFormat/>
  </w:style>
  <w:style w:type="character" w:customStyle="1" w:styleId="1d">
    <w:name w:val="Абзац списка1"/>
    <w:qFormat/>
  </w:style>
  <w:style w:type="character" w:customStyle="1" w:styleId="toc10">
    <w:name w:val="toc 10"/>
    <w:qFormat/>
  </w:style>
  <w:style w:type="character" w:customStyle="1" w:styleId="1e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f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6">
    <w:name w:val="Title"/>
    <w:next w:val="a7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1"/>
  </w:style>
  <w:style w:type="paragraph" w:styleId="a9">
    <w:name w:val="caption"/>
    <w:qFormat/>
    <w:rPr>
      <w:b/>
      <w:sz w:val="36"/>
    </w:rPr>
  </w:style>
  <w:style w:type="paragraph" w:styleId="aa">
    <w:name w:val="index heading"/>
    <w:qFormat/>
    <w:rPr>
      <w:sz w:val="26"/>
    </w:rPr>
  </w:style>
  <w:style w:type="paragraph" w:styleId="ab">
    <w:name w:val="table of figures"/>
    <w:basedOn w:val="a"/>
    <w:next w:val="a"/>
    <w:uiPriority w:val="99"/>
    <w:unhideWhenUsed/>
  </w:style>
  <w:style w:type="paragraph" w:customStyle="1" w:styleId="22">
    <w:name w:val="Заголовок2"/>
    <w:next w:val="a7"/>
    <w:qFormat/>
    <w:rPr>
      <w:rFonts w:ascii="Liberation Sans" w:hAnsi="Liberation Sans"/>
      <w:sz w:val="28"/>
    </w:rPr>
  </w:style>
  <w:style w:type="paragraph" w:styleId="ac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1f0">
    <w:name w:val="Верхний и нижний колонтитулы1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1">
    <w:name w:val="Footnote1"/>
    <w:qFormat/>
    <w:rPr>
      <w:rFonts w:ascii="XO Thames" w:hAnsi="XO Thames"/>
      <w:sz w:val="26"/>
    </w:rPr>
  </w:style>
  <w:style w:type="paragraph" w:customStyle="1" w:styleId="110">
    <w:name w:val="Основной шрифт абзаца11"/>
    <w:qFormat/>
    <w:rPr>
      <w:sz w:val="26"/>
    </w:rPr>
  </w:style>
  <w:style w:type="paragraph" w:styleId="af1">
    <w:name w:val="Balloon Text"/>
    <w:qFormat/>
    <w:rPr>
      <w:rFonts w:ascii="Tahoma" w:hAnsi="Tahoma"/>
      <w:sz w:val="16"/>
    </w:rPr>
  </w:style>
  <w:style w:type="paragraph" w:customStyle="1" w:styleId="Contents51">
    <w:name w:val="Contents 51"/>
    <w:qFormat/>
    <w:rPr>
      <w:sz w:val="26"/>
    </w:rPr>
  </w:style>
  <w:style w:type="paragraph" w:customStyle="1" w:styleId="Contents71">
    <w:name w:val="Contents 71"/>
    <w:qFormat/>
    <w:rPr>
      <w:sz w:val="26"/>
    </w:rPr>
  </w:style>
  <w:style w:type="paragraph" w:customStyle="1" w:styleId="Textbody1">
    <w:name w:val="Text body1"/>
    <w:qFormat/>
    <w:rPr>
      <w:sz w:val="26"/>
    </w:rPr>
  </w:style>
  <w:style w:type="paragraph" w:customStyle="1" w:styleId="Contents61">
    <w:name w:val="Contents 61"/>
    <w:qFormat/>
    <w:rPr>
      <w:sz w:val="26"/>
    </w:rPr>
  </w:style>
  <w:style w:type="paragraph" w:customStyle="1" w:styleId="Contents81">
    <w:name w:val="Contents 81"/>
    <w:qFormat/>
    <w:rPr>
      <w:sz w:val="26"/>
    </w:rPr>
  </w:style>
  <w:style w:type="paragraph" w:customStyle="1" w:styleId="211">
    <w:name w:val="Основной шрифт абзаца21"/>
    <w:qFormat/>
    <w:rPr>
      <w:sz w:val="26"/>
    </w:rPr>
  </w:style>
  <w:style w:type="paragraph" w:customStyle="1" w:styleId="ConsPlusNormal1">
    <w:name w:val="ConsPlusNormal1"/>
    <w:qFormat/>
    <w:rPr>
      <w:rFonts w:ascii="Arial" w:hAnsi="Arial"/>
    </w:rPr>
  </w:style>
  <w:style w:type="paragraph" w:customStyle="1" w:styleId="Contents21">
    <w:name w:val="Contents 21"/>
    <w:qFormat/>
    <w:rPr>
      <w:sz w:val="26"/>
    </w:rPr>
  </w:style>
  <w:style w:type="paragraph" w:customStyle="1" w:styleId="Contents41">
    <w:name w:val="Contents 41"/>
    <w:qFormat/>
    <w:rPr>
      <w:sz w:val="26"/>
    </w:rPr>
  </w:style>
  <w:style w:type="paragraph" w:customStyle="1" w:styleId="HeaderandFooter1">
    <w:name w:val="Header and Footer1"/>
    <w:basedOn w:val="a"/>
    <w:qFormat/>
  </w:style>
  <w:style w:type="paragraph" w:styleId="af2">
    <w:name w:val="footer"/>
    <w:rPr>
      <w:sz w:val="26"/>
    </w:rPr>
  </w:style>
  <w:style w:type="paragraph" w:customStyle="1" w:styleId="111">
    <w:name w:val="Гиперссылка1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12">
    <w:name w:val="Обычный1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1">
    <w:name w:val="Contents 31"/>
    <w:qFormat/>
    <w:rPr>
      <w:sz w:val="26"/>
    </w:rPr>
  </w:style>
  <w:style w:type="paragraph" w:styleId="af3">
    <w:name w:val="header"/>
    <w:rPr>
      <w:sz w:val="26"/>
    </w:rPr>
  </w:style>
  <w:style w:type="paragraph" w:customStyle="1" w:styleId="-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1">
    <w:name w:val="Contents 91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1">
    <w:name w:val="Contents 1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4">
    <w:name w:val="List Paragraph"/>
    <w:qFormat/>
    <w:rPr>
      <w:sz w:val="26"/>
    </w:rPr>
  </w:style>
  <w:style w:type="paragraph" w:customStyle="1" w:styleId="toc101">
    <w:name w:val="toc 101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5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10">
    <w:name w:val="ConsPlusNormal Знак1"/>
    <w:qFormat/>
    <w:rPr>
      <w:rFonts w:ascii="Arial" w:hAnsi="Arial"/>
    </w:rPr>
  </w:style>
  <w:style w:type="paragraph" w:customStyle="1" w:styleId="user">
    <w:name w:val="Содержимое таблицы (user)"/>
    <w:qFormat/>
    <w:pPr>
      <w:suppressLineNumbers/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user0">
    <w:name w:val="Содержимое врезки (user)"/>
    <w:qFormat/>
    <w:pP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user">
    <w:name w:val="Заголовок 10 (user)"/>
    <w:qFormat/>
    <w:pPr>
      <w:keepNext/>
      <w:numPr>
        <w:numId w:val="2"/>
      </w:numP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af6">
    <w:name w:val="Верхний колонтитул слева"/>
    <w:basedOn w:val="af3"/>
    <w:qFormat/>
  </w:style>
  <w:style w:type="numbering" w:customStyle="1" w:styleId="af7">
    <w:name w:val="Без списка"/>
    <w:uiPriority w:val="99"/>
    <w:semiHidden/>
    <w:unhideWhenUsed/>
    <w:qFormat/>
  </w:style>
  <w:style w:type="table" w:styleId="1f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7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3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"/>
              </a:schemeClr>
            </a:gs>
            <a:gs pos="35">
              <a:schemeClr val="phClr">
                <a:tint val="30"/>
              </a:schemeClr>
            </a:gs>
            <a:gs pos="100">
              <a:schemeClr val="phClr">
                <a:tint val="10"/>
              </a:schemeClr>
            </a:gs>
          </a:gsLst>
        </a:gradFill>
        <a:gradFill>
          <a:gsLst>
            <a:gs pos="0">
              <a:schemeClr val="phClr">
                <a:shade val="50"/>
              </a:schemeClr>
            </a:gs>
            <a:gs pos="80">
              <a:schemeClr val="phClr">
                <a:shade val="90"/>
              </a:schemeClr>
            </a:gs>
            <a:gs pos="100">
              <a:schemeClr val="phClr">
                <a:shade val="9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</a:schemeClr>
            </a:gs>
            <a:gs pos="40">
              <a:schemeClr val="phClr">
                <a:tint val="40"/>
                <a:shade val="90"/>
              </a:schemeClr>
            </a:gs>
            <a:gs pos="100">
              <a:schemeClr val="phClr">
                <a:shade val="20"/>
              </a:schemeClr>
            </a:gs>
          </a:gsLst>
        </a:gradFill>
        <a:gradFill>
          <a:gsLst>
            <a:gs pos="0">
              <a:schemeClr val="phClr">
                <a:tint val="80"/>
              </a:schemeClr>
            </a:gs>
            <a:gs pos="100">
              <a:schemeClr val="phClr">
                <a:shade val="3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13</cp:revision>
  <dcterms:created xsi:type="dcterms:W3CDTF">2025-03-03T14:56:00Z</dcterms:created>
  <dcterms:modified xsi:type="dcterms:W3CDTF">2025-05-22T07:51:00Z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</Properties>
</file>