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9EF" w:rsidRDefault="00B9177A">
      <w:pPr>
        <w:spacing w:line="283" w:lineRule="atLeast"/>
        <w:ind w:firstLine="5386"/>
        <w:jc w:val="left"/>
      </w:pPr>
      <w:r>
        <w:rPr>
          <w:rFonts w:eastAsia="Times New Roman"/>
        </w:rPr>
        <w:t>Приложение № 1</w:t>
      </w:r>
    </w:p>
    <w:p w:rsidR="002719EF" w:rsidRDefault="00B9177A">
      <w:pPr>
        <w:spacing w:line="283" w:lineRule="atLeast"/>
        <w:ind w:right="-143" w:firstLine="5386"/>
      </w:pPr>
      <w:r>
        <w:rPr>
          <w:rFonts w:eastAsia="Times New Roman"/>
        </w:rPr>
        <w:t>к постановлению главного управления</w:t>
      </w:r>
    </w:p>
    <w:p w:rsidR="002719EF" w:rsidRDefault="00B9177A">
      <w:pPr>
        <w:spacing w:line="283" w:lineRule="atLeast"/>
        <w:ind w:firstLine="5386"/>
        <w:jc w:val="left"/>
      </w:pPr>
      <w:r>
        <w:rPr>
          <w:rFonts w:eastAsia="Times New Roman"/>
        </w:rPr>
        <w:t>архитектуры и гра</w:t>
      </w:r>
      <w:bookmarkStart w:id="0" w:name="_GoBack"/>
      <w:bookmarkEnd w:id="0"/>
      <w:r>
        <w:rPr>
          <w:rFonts w:eastAsia="Times New Roman"/>
        </w:rPr>
        <w:t>достроительства</w:t>
      </w:r>
    </w:p>
    <w:p w:rsidR="002719EF" w:rsidRDefault="00B9177A">
      <w:pPr>
        <w:spacing w:line="283" w:lineRule="atLeast"/>
        <w:ind w:firstLine="5386"/>
        <w:jc w:val="left"/>
      </w:pPr>
      <w:r>
        <w:rPr>
          <w:rFonts w:eastAsia="Times New Roman"/>
        </w:rPr>
        <w:t>Рязанской области</w:t>
      </w:r>
    </w:p>
    <w:p w:rsidR="002719EF" w:rsidRDefault="00E46074">
      <w:pPr>
        <w:spacing w:line="283" w:lineRule="atLeast"/>
        <w:ind w:firstLine="5386"/>
        <w:jc w:val="left"/>
      </w:pPr>
      <w:r>
        <w:rPr>
          <w:rFonts w:eastAsia="Times New Roman"/>
        </w:rPr>
        <w:t>от 19 мая 2025 г. № 379</w:t>
      </w:r>
      <w:r w:rsidR="00B9177A">
        <w:rPr>
          <w:rFonts w:eastAsia="Times New Roman"/>
        </w:rPr>
        <w:t>-п</w:t>
      </w:r>
    </w:p>
    <w:p w:rsidR="002719EF" w:rsidRDefault="00B9177A">
      <w:pPr>
        <w:ind w:left="-142" w:firstLine="0"/>
      </w:pPr>
      <w:r>
        <w:t>«</w:t>
      </w:r>
    </w:p>
    <w:tbl>
      <w:tblPr>
        <w:tblW w:w="9585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2248"/>
        <w:gridCol w:w="5352"/>
        <w:gridCol w:w="1985"/>
      </w:tblGrid>
      <w:tr w:rsidR="002719EF">
        <w:trPr>
          <w:trHeight w:val="713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19EF" w:rsidRDefault="00B9177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Обозначение зоны (код)</w:t>
            </w:r>
          </w:p>
        </w:tc>
        <w:tc>
          <w:tcPr>
            <w:tcW w:w="7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9EF" w:rsidRDefault="00B9177A">
            <w:pPr>
              <w:widowControl w:val="0"/>
              <w:ind w:firstLine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75648" behindDoc="0" locked="0" layoutInCell="1" allowOverlap="1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-12700</wp:posOffset>
                      </wp:positionV>
                      <wp:extent cx="869315" cy="275590"/>
                      <wp:effectExtent l="0" t="0" r="0" b="0"/>
                      <wp:wrapNone/>
                      <wp:docPr id="1" name="Изображение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68680" cy="27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B4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719EF" w:rsidRDefault="00B9177A">
                                  <w:pPr>
                                    <w:widowControl w:val="0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Ж-1</w:t>
                                  </w:r>
                                </w:p>
                                <w:p w:rsidR="002719EF" w:rsidRDefault="002719EF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0" o:spid="_x0000_s0" o:spt="1" type="#_x0000_t1" style="position:absolute;z-index:251675648;o:allowoverlap:true;o:allowincell:true;mso-position-horizontal-relative:text;margin-left:117.60pt;mso-position-horizontal:absolute;mso-position-vertical-relative:text;margin-top:-1.00pt;mso-position-vertical:absolute;width:68.45pt;height:21.70pt;mso-wrap-distance-left:0.00pt;mso-wrap-distance-top:0.00pt;mso-wrap-distance-right:0.00pt;mso-wrap-distance-bottom:0.00pt;visibility:visible;" fillcolor="#ECB444" strokecolor="#000000" strokeweight="0.75pt">
                      <v:textbox inset="0,0,0,0">
                        <w:txbxContent>
                          <w:p>
                            <w:pPr>
                              <w:ind w:firstLine="0"/>
                              <w:jc w:val="center"/>
                              <w:widowControl w:val="off"/>
                            </w:pPr>
                            <w:r>
                              <w:rPr>
                                <w:b/>
                              </w:rPr>
                              <w:t xml:space="preserve">Ж-1</w:t>
                            </w:r>
                            <w:r/>
                          </w:p>
                          <w:p>
                            <w:pPr>
                              <w:widowControl w:val="off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19EF">
        <w:trPr>
          <w:trHeight w:val="276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19EF" w:rsidRDefault="00B9177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Виды использования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19EF" w:rsidRDefault="00B9177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Наименование вида разрешенного использования земельных участков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EF" w:rsidRDefault="00B9177A">
            <w:pPr>
              <w:widowControl w:val="0"/>
              <w:tabs>
                <w:tab w:val="left" w:pos="1071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bCs/>
                <w:color w:val="000000"/>
              </w:rPr>
              <w:t>Код по классификатору</w:t>
            </w:r>
          </w:p>
        </w:tc>
      </w:tr>
      <w:tr w:rsidR="002719EF">
        <w:trPr>
          <w:trHeight w:val="801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9EF" w:rsidRDefault="00B9177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для индивидуального жилищного строительства;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для ведения личного подсобного хозяйства (приусадебный земельный участок);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Style w:val="match"/>
                <w:rFonts w:eastAsia="Times New Roman"/>
                <w:color w:val="000000"/>
                <w:sz w:val="24"/>
                <w:szCs w:val="24"/>
              </w:rPr>
              <w:t>блокированная жилая застройка;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Style w:val="match"/>
                <w:rFonts w:eastAsia="Times New Roman"/>
                <w:color w:val="000000"/>
                <w:sz w:val="24"/>
                <w:szCs w:val="24"/>
              </w:rPr>
              <w:t>- хранение автотранспорта;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Style w:val="match"/>
                <w:rFonts w:eastAsia="Times New Roman"/>
                <w:color w:val="000000"/>
                <w:sz w:val="24"/>
                <w:szCs w:val="24"/>
              </w:rPr>
              <w:t>- коммунальное обслужив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ание;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социальное обслуживание;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бытовое обслуживание;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амбулаторно-поликлиническое обслуживание;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Style w:val="match"/>
                <w:rFonts w:eastAsia="Times New Roman"/>
                <w:color w:val="000000"/>
                <w:sz w:val="24"/>
                <w:szCs w:val="24"/>
              </w:rPr>
              <w:t>- дошкольное, начальное и среднее общее образование;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культурное развитие;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общественное управление;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магазины;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общественное пи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тание;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склад;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обеспечение внутреннего правопорядка;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земельные участки (территории) общего пользования;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ведение огородничества;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ведение садоводства.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2.1</w:t>
            </w:r>
          </w:p>
          <w:p w:rsidR="002719EF" w:rsidRDefault="002719EF">
            <w:pPr>
              <w:pStyle w:val="Main"/>
              <w:widowControl w:val="0"/>
              <w:spacing w:line="283" w:lineRule="atLeast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2.2</w:t>
            </w:r>
          </w:p>
          <w:p w:rsidR="002719EF" w:rsidRDefault="002719EF">
            <w:pPr>
              <w:pStyle w:val="Main"/>
              <w:widowControl w:val="0"/>
              <w:spacing w:line="283" w:lineRule="atLeast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2.3</w:t>
            </w:r>
          </w:p>
          <w:p w:rsidR="002719EF" w:rsidRDefault="00B9177A">
            <w:pPr>
              <w:pStyle w:val="Main"/>
              <w:widowControl w:val="0"/>
              <w:tabs>
                <w:tab w:val="left" w:pos="-108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2.7.1</w:t>
            </w:r>
          </w:p>
          <w:p w:rsidR="002719EF" w:rsidRDefault="00B9177A">
            <w:pPr>
              <w:pStyle w:val="Main"/>
              <w:widowControl w:val="0"/>
              <w:tabs>
                <w:tab w:val="left" w:pos="-108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3.1</w:t>
            </w:r>
          </w:p>
          <w:p w:rsidR="002719EF" w:rsidRDefault="00B9177A">
            <w:pPr>
              <w:pStyle w:val="Main"/>
              <w:widowControl w:val="0"/>
              <w:tabs>
                <w:tab w:val="left" w:pos="-108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3.2</w:t>
            </w:r>
          </w:p>
          <w:p w:rsidR="002719EF" w:rsidRDefault="00B9177A">
            <w:pPr>
              <w:pStyle w:val="Main"/>
              <w:widowControl w:val="0"/>
              <w:tabs>
                <w:tab w:val="left" w:pos="-108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3.3</w:t>
            </w:r>
          </w:p>
          <w:p w:rsidR="002719EF" w:rsidRDefault="00B9177A">
            <w:pPr>
              <w:pStyle w:val="Main"/>
              <w:widowControl w:val="0"/>
              <w:tabs>
                <w:tab w:val="left" w:pos="-108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3.4.1</w:t>
            </w:r>
          </w:p>
          <w:p w:rsidR="002719EF" w:rsidRDefault="00B9177A">
            <w:pPr>
              <w:pStyle w:val="Main"/>
              <w:widowControl w:val="0"/>
              <w:tabs>
                <w:tab w:val="left" w:pos="-108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3.5.1</w:t>
            </w:r>
          </w:p>
          <w:p w:rsidR="002719EF" w:rsidRDefault="002719EF">
            <w:pPr>
              <w:pStyle w:val="Main"/>
              <w:widowControl w:val="0"/>
              <w:tabs>
                <w:tab w:val="left" w:pos="-108"/>
              </w:tabs>
              <w:spacing w:line="283" w:lineRule="atLeast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2719EF" w:rsidRDefault="00B9177A">
            <w:pPr>
              <w:pStyle w:val="Main"/>
              <w:widowControl w:val="0"/>
              <w:tabs>
                <w:tab w:val="left" w:pos="-108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3.6</w:t>
            </w:r>
          </w:p>
          <w:p w:rsidR="002719EF" w:rsidRDefault="00B9177A">
            <w:pPr>
              <w:pStyle w:val="Main"/>
              <w:widowControl w:val="0"/>
              <w:tabs>
                <w:tab w:val="left" w:pos="-108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3.8</w:t>
            </w:r>
          </w:p>
          <w:p w:rsidR="002719EF" w:rsidRDefault="00B9177A">
            <w:pPr>
              <w:pStyle w:val="Main"/>
              <w:widowControl w:val="0"/>
              <w:tabs>
                <w:tab w:val="left" w:pos="-108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4.4</w:t>
            </w:r>
          </w:p>
          <w:p w:rsidR="002719EF" w:rsidRDefault="00B9177A">
            <w:pPr>
              <w:pStyle w:val="Main"/>
              <w:widowControl w:val="0"/>
              <w:tabs>
                <w:tab w:val="left" w:pos="-108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4.6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6.9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8.3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12.0</w:t>
            </w:r>
          </w:p>
          <w:p w:rsidR="002719EF" w:rsidRDefault="002719EF">
            <w:pPr>
              <w:pStyle w:val="Main"/>
              <w:widowControl w:val="0"/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13.1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13.2</w:t>
            </w:r>
          </w:p>
        </w:tc>
      </w:tr>
      <w:tr w:rsidR="002719EF">
        <w:trPr>
          <w:trHeight w:val="1107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</w:tcBorders>
          </w:tcPr>
          <w:p w:rsidR="002719EF" w:rsidRDefault="00B9177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Вспомогательные виды разрешенного использования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</w:tcBorders>
          </w:tcPr>
          <w:p w:rsidR="002719EF" w:rsidRDefault="002719EF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trike/>
                <w:sz w:val="24"/>
              </w:rPr>
            </w:pPr>
            <w:r>
              <w:rPr>
                <w:rFonts w:eastAsia="Times New Roman"/>
                <w:sz w:val="24"/>
              </w:rPr>
              <w:t>не устанавливаются</w:t>
            </w:r>
          </w:p>
          <w:p w:rsidR="002719EF" w:rsidRDefault="002719EF">
            <w:pPr>
              <w:ind w:firstLine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EF" w:rsidRDefault="002719EF">
            <w:pPr>
              <w:pStyle w:val="Main"/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</w:tr>
      <w:tr w:rsidR="002719EF">
        <w:trPr>
          <w:trHeight w:val="424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9EF" w:rsidRDefault="00B9177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Условно разрешенные виды использования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хранение и переработка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сельскохозяйственной</w:t>
            </w:r>
            <w:proofErr w:type="gramEnd"/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продукции;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питомники;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обеспечение сельскохозяйственного производства;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малоэтажная многоквартирная жилая застройка;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религиозное использование;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рынки;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гостиничное обслуживание;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объекты дорожного сервиса;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отдых (рекреация);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пищевая промышленность;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строительная промышленность;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связь;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использование лесов;</w:t>
            </w:r>
          </w:p>
          <w:p w:rsidR="002719EF" w:rsidRDefault="00B9177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общее пользование водными объектами.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EF" w:rsidRDefault="00B9177A">
            <w:pPr>
              <w:pStyle w:val="Main"/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1.15</w:t>
            </w:r>
          </w:p>
          <w:p w:rsidR="002719EF" w:rsidRDefault="002719EF">
            <w:pPr>
              <w:pStyle w:val="Main"/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  <w:p w:rsidR="002719EF" w:rsidRDefault="00B9177A">
            <w:pPr>
              <w:pStyle w:val="Main"/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1.17</w:t>
            </w:r>
          </w:p>
          <w:p w:rsidR="002719EF" w:rsidRDefault="00B9177A">
            <w:pPr>
              <w:pStyle w:val="Main"/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1.18</w:t>
            </w:r>
          </w:p>
          <w:p w:rsidR="002719EF" w:rsidRDefault="002719EF">
            <w:pPr>
              <w:pStyle w:val="Main"/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  <w:p w:rsidR="002719EF" w:rsidRDefault="00B9177A">
            <w:pPr>
              <w:pStyle w:val="Main"/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2.1.1</w:t>
            </w:r>
          </w:p>
          <w:p w:rsidR="002719EF" w:rsidRDefault="00B9177A">
            <w:pPr>
              <w:pStyle w:val="Main"/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3.7</w:t>
            </w:r>
          </w:p>
          <w:p w:rsidR="002719EF" w:rsidRDefault="00B9177A">
            <w:pPr>
              <w:pStyle w:val="Main"/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4.3</w:t>
            </w:r>
          </w:p>
          <w:p w:rsidR="002719EF" w:rsidRDefault="00B9177A">
            <w:pPr>
              <w:pStyle w:val="Main"/>
              <w:widowControl w:val="0"/>
              <w:tabs>
                <w:tab w:val="center" w:pos="884"/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4.7</w:t>
            </w:r>
          </w:p>
          <w:p w:rsidR="002719EF" w:rsidRDefault="00B9177A">
            <w:pPr>
              <w:pStyle w:val="Main"/>
              <w:widowControl w:val="0"/>
              <w:tabs>
                <w:tab w:val="center" w:pos="884"/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4.9.1</w:t>
            </w:r>
          </w:p>
          <w:p w:rsidR="002719EF" w:rsidRDefault="00B9177A">
            <w:pPr>
              <w:pStyle w:val="Main"/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5.0</w:t>
            </w:r>
          </w:p>
          <w:p w:rsidR="002719EF" w:rsidRDefault="00B9177A">
            <w:pPr>
              <w:pStyle w:val="Main"/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6.4</w:t>
            </w:r>
          </w:p>
          <w:p w:rsidR="002719EF" w:rsidRDefault="00B9177A">
            <w:pPr>
              <w:pStyle w:val="Main"/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6.6</w:t>
            </w:r>
          </w:p>
          <w:p w:rsidR="002719EF" w:rsidRDefault="00B9177A">
            <w:pPr>
              <w:pStyle w:val="Main"/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6.8</w:t>
            </w:r>
          </w:p>
          <w:p w:rsidR="002719EF" w:rsidRDefault="00B9177A">
            <w:pPr>
              <w:pStyle w:val="Main"/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10.0</w:t>
            </w:r>
          </w:p>
          <w:p w:rsidR="002719EF" w:rsidRDefault="00B9177A">
            <w:pPr>
              <w:pStyle w:val="Main"/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11.1</w:t>
            </w:r>
          </w:p>
        </w:tc>
      </w:tr>
    </w:tbl>
    <w:p w:rsidR="002719EF" w:rsidRDefault="00B9177A">
      <w:pPr>
        <w:jc w:val="right"/>
      </w:pPr>
      <w:r>
        <w:t>»</w:t>
      </w:r>
    </w:p>
    <w:sectPr w:rsidR="002719EF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77A" w:rsidRDefault="00B9177A">
      <w:r>
        <w:separator/>
      </w:r>
    </w:p>
  </w:endnote>
  <w:endnote w:type="continuationSeparator" w:id="0">
    <w:p w:rsidR="00B9177A" w:rsidRDefault="00B9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77A" w:rsidRDefault="00B9177A">
      <w:r>
        <w:separator/>
      </w:r>
    </w:p>
  </w:footnote>
  <w:footnote w:type="continuationSeparator" w:id="0">
    <w:p w:rsidR="00B9177A" w:rsidRDefault="00B91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9EF"/>
    <w:rsid w:val="002719EF"/>
    <w:rsid w:val="00B70CCB"/>
    <w:rsid w:val="00B9177A"/>
    <w:rsid w:val="00E4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match">
    <w:name w:val="match"/>
    <w:qFormat/>
  </w:style>
  <w:style w:type="paragraph" w:customStyle="1" w:styleId="Main">
    <w:name w:val="Main"/>
    <w:basedOn w:val="a"/>
    <w:qFormat/>
    <w:rPr>
      <w:sz w:val="28"/>
      <w:szCs w:val="28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Calibr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match">
    <w:name w:val="match"/>
    <w:qFormat/>
  </w:style>
  <w:style w:type="paragraph" w:customStyle="1" w:styleId="Main">
    <w:name w:val="Main"/>
    <w:basedOn w:val="a"/>
    <w:qFormat/>
    <w:rPr>
      <w:sz w:val="28"/>
      <w:szCs w:val="28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Анастастия Теслова</dc:creator>
  <cp:lastModifiedBy>wiadmin</cp:lastModifiedBy>
  <cp:revision>13</cp:revision>
  <cp:lastPrinted>2025-05-19T09:27:00Z</cp:lastPrinted>
  <dcterms:created xsi:type="dcterms:W3CDTF">2025-01-21T06:08:00Z</dcterms:created>
  <dcterms:modified xsi:type="dcterms:W3CDTF">2025-05-19T09:27:00Z</dcterms:modified>
</cp:coreProperties>
</file>