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16.05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245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территории</w:t>
        <w:br/>
        <w:t xml:space="preserve">Ермо-Николаевского сельского округа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территории Ермо-Николаевского сельского округа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«19» мая 2025 г. </w:t>
        <w:br/>
        <w:t xml:space="preserve">по «04» июня 2025 г.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20.05.2025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Ермо-Николаевского сельского округа Пителинского муниципального округа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20.05.2025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rPr>
          <w:sz w:val="27"/>
        </w:rPr>
        <w:tab/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Терентеево (ул. А.М. Семина, около д. 15)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Лукино (ул. Полетаева, около д. 26)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Высокие Поляны (ул. Центральная, около д. 5)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Краснопартизанский (ул. Есенина, около д. 1б)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12:15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х. Пятницкий Яр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13:25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Ермо-Николаевка, ул. Центральная, д. 1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 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Жуковка (около д. 7)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 по 14:30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Кононовка (ул. Центральная, около д. 21)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14:45 час. «26» мая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Полесье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15:15 час. «26» мая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Кошибеевка (ул. Кошебеевка, около д. 5)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15:35 час. «26» мая 2025 г.).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0" w:right="-283" w:firstLine="0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spacing w:lineRule="auto" w:line="247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auto" w:line="247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11:00 час. по 11:10 час. по адресу: Рязанская область, Пителинский округ,</w:t>
        <w:br/>
        <w:t xml:space="preserve">с. Терентеево (ул. А.М. Семина, около д. 15);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11:30 час. по 11:40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Лукино (ул. Полетаева, около д. 26);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11:45 час. по 11:55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с. Высокие Поляны (ул. Центральная, около д. 5);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12:05 час. по 12:15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п. Краснопартизанский (ул. Есенина, около д. 1б);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13:15 час. по 13:25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х. Пятницкий Яр (при въезде 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14:05 час. по 14:15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с. Ермо-Николаевка,ул. Центральная, д. 1 в административном здании;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14:20 час. по 14:30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Жуковка (около д. 7);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14:35 час. по 14:45 час.</w:t>
      </w:r>
      <w:r>
        <w:rPr>
          <w:sz w:val="27"/>
          <w:highlight w:val="none"/>
        </w:rPr>
        <w:t xml:space="preserve"> по адресу: Рязанская область, Пителинский округ,</w:t>
      </w:r>
      <w:r>
        <w:rPr>
          <w:sz w:val="27"/>
          <w:highlight w:val="none"/>
        </w:rPr>
        <w:br/>
        <w:t xml:space="preserve">д. Кононовка(ул. Центральная, около д. 21);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15:05 час. по 15:15 час.</w:t>
      </w:r>
      <w:r>
        <w:rPr>
          <w:sz w:val="27"/>
          <w:highlight w:val="none"/>
        </w:rPr>
        <w:t xml:space="preserve"> по адресу: Рязанская область, Пителинский округ,</w:t>
      </w:r>
      <w:r>
        <w:rPr>
          <w:sz w:val="27"/>
          <w:highlight w:val="none"/>
        </w:rPr>
        <w:br/>
        <w:t xml:space="preserve">п. Полесье (при въездев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15:25 час. по 15:35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Кошибеевка (ул. Кошебеевка, около д. 5)</w:t>
      </w:r>
      <w:r>
        <w:rPr>
          <w:sz w:val="27"/>
          <w:highlight w:val="none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«26»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101</cp:revision>
  <dcterms:created xsi:type="dcterms:W3CDTF">2024-05-31T06:53:00Z</dcterms:created>
  <dcterms:modified xsi:type="dcterms:W3CDTF">2025-05-16T12:20:27Z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