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C13" w:rsidRDefault="009152E0">
      <w:pPr>
        <w:keepNext/>
        <w:spacing w:before="0" w:after="0"/>
        <w:ind w:left="5670"/>
        <w:jc w:val="left"/>
      </w:pPr>
      <w:r>
        <w:t xml:space="preserve">Утвержден </w:t>
      </w:r>
    </w:p>
    <w:p w:rsidR="005A4C13" w:rsidRDefault="009152E0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5A4C13" w:rsidRDefault="009152E0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5A4C13" w:rsidRDefault="009152E0">
      <w:pPr>
        <w:keepNext/>
        <w:spacing w:before="0" w:after="0"/>
        <w:ind w:left="5670"/>
        <w:jc w:val="left"/>
      </w:pPr>
      <w:r>
        <w:t>Рязанской области</w:t>
      </w:r>
    </w:p>
    <w:p w:rsidR="005A4C13" w:rsidRDefault="00356FFF">
      <w:pPr>
        <w:keepNext/>
        <w:tabs>
          <w:tab w:val="left" w:pos="5100"/>
        </w:tabs>
        <w:spacing w:before="0" w:after="0"/>
        <w:ind w:left="5670"/>
        <w:jc w:val="left"/>
      </w:pPr>
      <w:r>
        <w:t>от 20 мая 2025 г.</w:t>
      </w:r>
      <w:r w:rsidR="009152E0">
        <w:t xml:space="preserve"> №</w:t>
      </w:r>
      <w:r>
        <w:t xml:space="preserve"> 382-п</w:t>
      </w:r>
      <w:bookmarkStart w:id="0" w:name="_GoBack"/>
      <w:bookmarkEnd w:id="0"/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9152E0">
      <w:pPr>
        <w:pStyle w:val="a9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5A4C13" w:rsidRDefault="009152E0">
      <w:pPr>
        <w:pStyle w:val="a9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Касимовский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</w:t>
      </w:r>
      <w:r>
        <w:rPr>
          <w:color w:val="auto"/>
          <w:sz w:val="32"/>
          <w:szCs w:val="32"/>
        </w:rPr>
        <w:t xml:space="preserve">территориям </w:t>
      </w:r>
      <w:proofErr w:type="spellStart"/>
      <w:r>
        <w:rPr>
          <w:color w:val="auto"/>
          <w:sz w:val="32"/>
          <w:szCs w:val="32"/>
        </w:rPr>
        <w:t>Китовского</w:t>
      </w:r>
      <w:proofErr w:type="spellEnd"/>
    </w:p>
    <w:p w:rsidR="005A4C13" w:rsidRDefault="009152E0">
      <w:pPr>
        <w:pStyle w:val="a9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и </w:t>
      </w:r>
      <w:proofErr w:type="spellStart"/>
      <w:r>
        <w:rPr>
          <w:color w:val="auto"/>
          <w:sz w:val="32"/>
          <w:szCs w:val="32"/>
        </w:rPr>
        <w:t>Ибердусского</w:t>
      </w:r>
      <w:proofErr w:type="spellEnd"/>
      <w:r>
        <w:rPr>
          <w:color w:val="auto"/>
          <w:sz w:val="32"/>
          <w:szCs w:val="32"/>
        </w:rPr>
        <w:t xml:space="preserve"> сельских округов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Касимовского</w:t>
      </w:r>
      <w:proofErr w:type="spellEnd"/>
      <w:r>
        <w:rPr>
          <w:sz w:val="32"/>
          <w:szCs w:val="32"/>
        </w:rPr>
        <w:t xml:space="preserve"> района </w:t>
      </w:r>
      <w:r w:rsidR="00E97F02">
        <w:rPr>
          <w:sz w:val="32"/>
          <w:szCs w:val="32"/>
        </w:rPr>
        <w:br/>
      </w:r>
      <w:r>
        <w:rPr>
          <w:sz w:val="32"/>
          <w:szCs w:val="32"/>
        </w:rPr>
        <w:t xml:space="preserve">Рязанской области </w:t>
      </w:r>
    </w:p>
    <w:p w:rsidR="005A4C13" w:rsidRDefault="009152E0">
      <w:pPr>
        <w:pStyle w:val="a9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A4C13" w:rsidRDefault="005A4C13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5A4C13" w:rsidRDefault="009152E0">
      <w:pPr>
        <w:pStyle w:val="a9"/>
        <w:spacing w:after="6"/>
        <w:ind w:firstLine="0"/>
        <w:jc w:val="center"/>
        <w:rPr>
          <w:sz w:val="32"/>
          <w:szCs w:val="32"/>
        </w:rPr>
        <w:sectPr w:rsidR="005A4C1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5A4C13" w:rsidRDefault="009152E0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5A4C13" w:rsidRDefault="009152E0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Касимовский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iCs/>
          <w:color w:val="auto"/>
          <w:sz w:val="28"/>
          <w:szCs w:val="28"/>
          <w:lang w:eastAsia="ru-RU"/>
        </w:rPr>
        <w:t>Китовского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и </w:t>
      </w:r>
      <w:proofErr w:type="spellStart"/>
      <w:r>
        <w:rPr>
          <w:iCs/>
          <w:color w:val="auto"/>
          <w:sz w:val="28"/>
          <w:szCs w:val="28"/>
          <w:lang w:eastAsia="ru-RU"/>
        </w:rPr>
        <w:t>Ибердусского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сельских округов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19.12.2024 № 772-п,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>«О градостроительной деятельности на территории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преобразовании муниципальных образований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4C5917" w:rsidRDefault="004C5917">
      <w:pPr>
        <w:widowControl w:val="0"/>
        <w:spacing w:before="240" w:after="0"/>
        <w:ind w:firstLine="709"/>
        <w:jc w:val="both"/>
        <w:rPr>
          <w:color w:val="auto"/>
        </w:rPr>
      </w:pPr>
    </w:p>
    <w:p w:rsidR="004C5917" w:rsidRDefault="004C5917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5A4C13">
      <w:pPr>
        <w:widowControl w:val="0"/>
        <w:spacing w:before="240" w:after="0"/>
        <w:ind w:firstLine="709"/>
        <w:jc w:val="both"/>
        <w:rPr>
          <w:color w:val="auto"/>
        </w:rPr>
      </w:pPr>
    </w:p>
    <w:p w:rsidR="005A4C13" w:rsidRDefault="009152E0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5A4C13" w:rsidRDefault="005A4C13">
      <w:pPr>
        <w:pStyle w:val="a9"/>
        <w:rPr>
          <w:color w:val="auto"/>
          <w:sz w:val="32"/>
          <w:szCs w:val="32"/>
          <w:shd w:val="clear" w:color="auto" w:fill="FFFF00"/>
        </w:rPr>
      </w:pPr>
    </w:p>
    <w:p w:rsidR="005A4C13" w:rsidRDefault="009152E0">
      <w:pPr>
        <w:pStyle w:val="a9"/>
      </w:pPr>
      <w:r>
        <w:rPr>
          <w:iCs/>
          <w:szCs w:val="28"/>
          <w:lang w:eastAsia="ar-SA"/>
        </w:rPr>
        <w:t xml:space="preserve">На </w:t>
      </w:r>
      <w:r>
        <w:rPr>
          <w:rStyle w:val="a3"/>
          <w:iCs/>
          <w:color w:val="000000"/>
          <w:szCs w:val="28"/>
          <w:u w:val="none"/>
        </w:rPr>
        <w:t xml:space="preserve">территории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</w:rPr>
        <w:t>Касимовский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</w:rPr>
        <w:t>Касимовского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</w:rPr>
        <w:t xml:space="preserve">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iCs/>
          <w:szCs w:val="28"/>
        </w:rPr>
        <w:t>.</w:t>
      </w:r>
    </w:p>
    <w:p w:rsidR="005A4C13" w:rsidRDefault="005A4C13">
      <w:pPr>
        <w:pStyle w:val="a9"/>
        <w:rPr>
          <w:szCs w:val="28"/>
        </w:rPr>
      </w:pPr>
    </w:p>
    <w:p w:rsidR="005A4C13" w:rsidRDefault="009152E0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5A4C13" w:rsidRDefault="005A4C13">
      <w:pPr>
        <w:pStyle w:val="a9"/>
        <w:numPr>
          <w:ilvl w:val="0"/>
          <w:numId w:val="1"/>
        </w:numPr>
        <w:ind w:firstLine="680"/>
        <w:rPr>
          <w:sz w:val="32"/>
          <w:szCs w:val="32"/>
        </w:rPr>
      </w:pPr>
    </w:p>
    <w:p w:rsidR="005A4C13" w:rsidRDefault="009152E0">
      <w:pPr>
        <w:pStyle w:val="a9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3"/>
          <w:bCs/>
          <w:iCs/>
          <w:color w:val="000000"/>
          <w:szCs w:val="28"/>
          <w:u w:val="none"/>
          <w:lang w:eastAsia="ru-RU"/>
        </w:rPr>
        <w:t>Касимовский</w:t>
      </w:r>
      <w:proofErr w:type="spellEnd"/>
      <w:r>
        <w:rPr>
          <w:rStyle w:val="a3"/>
          <w:bCs/>
          <w:iCs/>
          <w:color w:val="000000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</w:t>
      </w:r>
      <w:r>
        <w:rPr>
          <w:szCs w:val="28"/>
        </w:rPr>
        <w:t xml:space="preserve"> учитывалось:</w:t>
      </w:r>
    </w:p>
    <w:p w:rsidR="005A4C13" w:rsidRDefault="009152E0">
      <w:pPr>
        <w:pStyle w:val="a9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5A4C13" w:rsidRDefault="009152E0">
      <w:pPr>
        <w:pStyle w:val="a9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5A4C13" w:rsidRDefault="009152E0">
      <w:pPr>
        <w:pStyle w:val="a9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5A4C13" w:rsidRDefault="009152E0">
      <w:pPr>
        <w:pStyle w:val="a9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5A4C13" w:rsidRDefault="009152E0">
      <w:pPr>
        <w:pStyle w:val="a9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5A4C13" w:rsidRDefault="009152E0">
      <w:pPr>
        <w:pStyle w:val="a9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3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4C5917" w:rsidRDefault="004C5917">
      <w:pPr>
        <w:pStyle w:val="a9"/>
        <w:jc w:val="right"/>
      </w:pPr>
    </w:p>
    <w:p w:rsidR="005A4C13" w:rsidRDefault="009152E0">
      <w:pPr>
        <w:pStyle w:val="a9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5A4C13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5A4C13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A4C13" w:rsidRDefault="005A4C13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A4C13" w:rsidRDefault="005A4C13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A4C13" w:rsidRDefault="005A4C13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A4C13" w:rsidRDefault="005A4C13">
            <w:pPr>
              <w:widowControl w:val="0"/>
              <w:rPr>
                <w:sz w:val="32"/>
                <w:szCs w:val="32"/>
              </w:rPr>
            </w:pPr>
          </w:p>
        </w:tc>
      </w:tr>
      <w:tr w:rsidR="005A4C13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0" allowOverlap="1" wp14:anchorId="5629899C" wp14:editId="12910762">
                      <wp:simplePos x="0" y="0"/>
                      <wp:positionH relativeFrom="column">
                        <wp:posOffset>631604</wp:posOffset>
                      </wp:positionH>
                      <wp:positionV relativeFrom="paragraph">
                        <wp:posOffset>65405</wp:posOffset>
                      </wp:positionV>
                      <wp:extent cx="784225" cy="387985"/>
                      <wp:effectExtent l="0" t="0" r="15875" b="1206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49.75pt;margin-top:5.15pt;width:61.75pt;height:30.5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1S8wEAADEEAAAOAAAAZHJzL2Uyb0RvYy54bWysU81uEzEQviPxDpbvZDdJk6arbHqgChcE&#10;FYVz5XjtrCX/yXazyY1n4Em4ICSeIrwR48k2TcqpiD14Z+yZz998M55fb40mGxGicramw0FJibDc&#10;Ncqua/rl8/LNjJKYmG2YdlbUdCcivV68fjXvfCVGrnW6EYEAiI1V52vapuSrooi8FYbFgfPCwqF0&#10;wbAEblgXTWAdoBtdjMpyWnQuND44LmKE3ZvDIV0gvpSCp49SRpGIrilwS7gGXFd5LRZzVq0D863i&#10;PQ32DywMUxYuPULdsMTIQ1B/QRnFg4tOpgF3pnBSKi6wBqhmWD6r5q5lXmAtIE70R5ni/4PlHza3&#10;gagGekeJZQZatP/2++v+x/7n/tf++3B8P84adT5WEHrnb0PvRTBzwVsZTP5DKWSLuu6OuoptIhw2&#10;L2cXo9GEEg5H49nl1WySMYunZB9ieiecIdmoaYC2oZps8z6mQ+hjSL4rOq2apdIanbBevdWBbBi0&#10;eLmcXkywq4B+FqYt6Wp6NZ6WiHx2Fk8hSvx6gmdhwT3Y5sBGW+CfRTnIgFbaaZEJaftJSJAU1UCG&#10;vMc/zB08DJjEx+kDnpiQAyWU9MLcPiVnCxz3F+Yfk/B+Z9Mx3yjrAspwUl02V67Z4RigADCX2Mr+&#10;DeXBP/VRpqeXvvgDAAD//wMAUEsDBBQABgAIAAAAIQCjUavU3QAAAAgBAAAPAAAAZHJzL2Rvd25y&#10;ZXYueG1sTI/BTsMwEETvSPyDtUjcqNMUCk3jVKhSL3ChDR/gxtskJV4H20nD37OcynFnRrNv8s1k&#10;OzGiD60jBfNZAgKpcqalWsFnuXt4ARGiJqM7R6jgBwNsitubXGfGXWiP4yHWgksoZFpBE2OfSRmq&#10;Bq0OM9cjsXdy3urIp6+l8frC5baTaZIspdUt8YdG97htsPo6DFbBdzd87Gi59VVrR/lW7kt7ej8r&#10;dX83va5BRJziNQx/+IwOBTMd3UAmiE7BavXESdaTBQj203TB244KnuePIItc/h9Q/AIAAP//AwBQ&#10;SwECLQAUAAYACAAAACEAtoM4kv4AAADhAQAAEwAAAAAAAAAAAAAAAAAAAAAAW0NvbnRlbnRfVHlw&#10;ZXNdLnhtbFBLAQItABQABgAIAAAAIQA4/SH/1gAAAJQBAAALAAAAAAAAAAAAAAAAAC8BAABfcmVs&#10;cy8ucmVsc1BLAQItABQABgAIAAAAIQB3q71S8wEAADEEAAAOAAAAAAAAAAAAAAAAAC4CAABkcnMv&#10;ZTJvRG9jLnhtbFBLAQItABQABgAIAAAAIQCjUavU3QAAAAgBAAAPAAAAAAAAAAAAAAAAAE0EAABk&#10;cnMvZG93bnJldi54bWxQSwUGAAAAAAQABADzAAAAVwUAAAAA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5A4C13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4" behindDoc="0" locked="0" layoutInCell="0" allowOverlap="1" wp14:anchorId="58E3B366" wp14:editId="326625A0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66040</wp:posOffset>
                      </wp:positionV>
                      <wp:extent cx="784225" cy="387985"/>
                      <wp:effectExtent l="0" t="0" r="15875" b="12065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5.35pt;margin-top:5.2pt;width:61.75pt;height:30.5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Zo8gEAADIEAAAOAAAAZHJzL2Uyb0RvYy54bWysU81uEzEQviPxDpbvZDcJbdJVNlXVKlwQ&#10;VBTOleO1E0v+k+1mkxvPwJNwQUg8xfJGjCf/5VTEHrwz9szn+b4ZT67XRpOVCFE5W9N+r6REWO4a&#10;ZRc1/fJ59mZMSUzMNkw7K2q6EZFeT1+/mrS+EgO3dLoRgQCIjVXra7pMyVdFEflSGBZ7zgsLh9IF&#10;wxK4YVE0gbWAbnQxKMvLonWh8cFxESPs3m0P6RTxpRQ8fZQyikR0TaG2hGvAdZ7XYjph1SIwv1R8&#10;Vwb7hyoMUxYuPUDdscTIU1B/QRnFg4tOph53pnBSKi6QA7Dpl8/YPCyZF8gFxIn+IFP8f7D8w+o+&#10;ENXUdECJZQZa1H37/bX70f3sfnXf+8PHPorU+lhB7IO/DyBZ9iKYmfFaBpP/wIWsUdjNQVixToTD&#10;5mj8djC4oITD0XA8uhpfZOGLY7IPMb0TzpBs1DRA31BOtnof0zZ0H5Lvik6rZqa0Rics5rc6kBWD&#10;Ht/ejG5me/SzMG1JW9Or4WWJyGdn8RSixG9X4FlYcE+22VajLdR/lAGttNEiF6TtJyFBU1QDK+Q7&#10;/O3gwcuAUdyPH6iACTlQAqUX5u5ScrbAeX9h/iEJ73c2HfKNsi6gDCfssjl3zQbHAAWAwcRW7h5R&#10;nvxTH2U6PvXpHwAAAP//AwBQSwMEFAAGAAgAAAAhAPivJiLfAAAACAEAAA8AAABkcnMvZG93bnJl&#10;di54bWxMj8FOwzAQRO9I/IO1SNyonSi0JcSpEFIPiAu0SJSbG5skqr2ObDdN/p7lBMfZGc28rTaT&#10;s2w0IfYeJWQLAcxg43WPrYSP/fZuDSwmhVpZj0bCbCJs6uurSpXaX/DdjLvUMirBWCoJXUpDyXls&#10;OuNUXPjBIHnfPjiVSIaW66AuVO4sz4VYcqd6pIVODea5M81pd3YS7OuQfeWnsF3Ob/vDpyjGlzRz&#10;KW9vpqdHYMlM6S8Mv/iEDjUxHf0ZdWRWwoNYUZLuogBGfp4VObCjhFV2D7yu+P8H6h8AAAD//wMA&#10;UEsBAi0AFAAGAAgAAAAhALaDOJL+AAAA4QEAABMAAAAAAAAAAAAAAAAAAAAAAFtDb250ZW50X1R5&#10;cGVzXS54bWxQSwECLQAUAAYACAAAACEAOP0h/9YAAACUAQAACwAAAAAAAAAAAAAAAAAvAQAAX3Jl&#10;bHMvLnJlbHNQSwECLQAUAAYACAAAACEAblHmaPIBAAAyBAAADgAAAAAAAAAAAAAAAAAuAgAAZHJz&#10;L2Uyb0RvYy54bWxQSwECLQAUAAYACAAAACEA+K8mIt8AAAAIAQAADwAAAAAAAAAAAAAAAABMBAAA&#10;ZHJzL2Rvd25yZXYueG1sUEsFBgAAAAAEAAQA8wAAAFgFAAAAAA=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5A4C13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 wp14:anchorId="4355716F" wp14:editId="3FED94E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28575" b="24765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26" style="position:absolute;margin-left:45.05pt;margin-top:3.95pt;width:62.25pt;height:31.0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t/8wEAADEEAAAOAAAAZHJzL2Uyb0RvYy54bWysU81uEzEQviPxDpbvZDfdpG1W2VSIqlwQ&#10;VBTOleO1s5b8J9vNJjeegSfhgpB4iuWNGE/SNC1citiDd8ae75uZz+P5xcZoshYhKmcbOh6VlAjL&#10;XavsqqGfP129OqckJmZbpp0VDd2KSC8WL1/Me1+LE9c53YpAgMTGuvcN7VLydVFE3gnD4sh5YeFQ&#10;umBYAjesijawHtiNLk7K8rToXWh9cFzECLuXu0O6QH4pBU8fpIwiEd1QqC3hGnBd5rVYzFm9Csx3&#10;iu/LYP9QhWHKQtID1SVLjNwF9QeVUTy46GQacWcKJ6XiAnuAbsblk25uOuYF9gLiRH+QKf4/Wv5+&#10;fR2IahtaUWKZgSsavv76Mnwffgw/h2/j6naaNep9rCH0xl+HvRfBzA1vZDD5D62QDeq6PegqNolw&#10;2DybldOzKSUcjqrZpKqQs3gA+xDTW+EMyUZDA1wbqsnW72KChBB6H5JzRadVe6W0Rieslm90IGsG&#10;V3w+m76eTHLFAHkUpi3pGzqrTktkfnQWjylK/P5GEdydbXfU2kKGLMpOBrTSVotckLYfhQRJUQ2s&#10;kO/5d3MHDwMm8X76oE4E5EAJLT0Tu4dktMBxfyb+AML8zqYD3ijrAspw1F02l67d4higADCXKPb+&#10;DeXBP/ZRpoeXvvgNAAD//wMAUEsDBBQABgAIAAAAIQCIqfp83QAAAAcBAAAPAAAAZHJzL2Rvd25y&#10;ZXYueG1sTI7BTsMwEETvSPyDtUjcqJ2qKTTEqQAJSC+VKOXAzY2XJEq8jmK3DX/PcoLjaEZvXr6e&#10;XC9OOIbWk4ZkpkAgVd62VGvYvz/f3IEI0ZA1vSfU8I0B1sXlRW4y68/0hqddrAVDKGRGQxPjkEkZ&#10;qgadCTM/IHH35UdnIsexlnY0Z4a7Xs6VWkpnWuKHxgz41GDV7Y5Ow7bcdOn0El9Nue+25edj+pEs&#10;Uq2vr6aHexARp/g3hl99VoeCnQ7+SDaIXsNKJbzUcLsCwfU8WSxBHDgrBbLI5X//4gcAAP//AwBQ&#10;SwECLQAUAAYACAAAACEAtoM4kv4AAADhAQAAEwAAAAAAAAAAAAAAAAAAAAAAW0NvbnRlbnRfVHlw&#10;ZXNdLnhtbFBLAQItABQABgAIAAAAIQA4/SH/1gAAAJQBAAALAAAAAAAAAAAAAAAAAC8BAABfcmVs&#10;cy8ucmVsc1BLAQItABQABgAIAAAAIQCxWrt/8wEAADEEAAAOAAAAAAAAAAAAAAAAAC4CAABkcnMv&#10;ZTJvRG9jLnhtbFBLAQItABQABgAIAAAAIQCIqfp83QAAAAcBAAAPAAAAAAAAAAAAAAAAAE0EAABk&#10;cnMvZG93bnJldi54bWxQSwUGAAAAAAQABADzAAAAVwUAAAAA&#10;" o:allowincell="f" fillcolor="#895a44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kern w:val="0"/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Производственная зона предназначена</w:t>
            </w:r>
          </w:p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5A4C1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0" allowOverlap="1" wp14:anchorId="3DFD1888" wp14:editId="31A2FB0A">
                      <wp:simplePos x="0" y="0"/>
                      <wp:positionH relativeFrom="column">
                        <wp:posOffset>568131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6" style="position:absolute;margin-left:44.75pt;margin-top:3.95pt;width:61.75pt;height:30.5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o88QEAADEEAAAOAAAAZHJzL2Uyb0RvYy54bWysU81uEzEQviPxDpbvZDe7bZpG2fRAVS4I&#10;Kgpn5HjtrCX/yXazyY1n4Em4ICSeYvtGjCdpkgKXIvbgnbFnPs/3zXh+tTGarEWIytmGjkclJcJy&#10;1yq7auinjzevppTExGzLtLOioVsR6dXi5Yt572eicp3TrQgEQGyc9b6hXUp+VhSRd8KwOHJeWDiU&#10;LhiWwA2rog2sB3Sji6osJ0XvQuuD4yJG2L3eHdIF4kspeHovZRSJ6IZCbQnXgOsyr8VizmarwHyn&#10;+L4M9g9VGKYsXHqAumaJkfug/oAyigcXnUwj7kzhpFRcIAdgMy5/Y3PXMS+QC4gT/UGm+P9g+bv1&#10;bSCqbegZJZYZaNHw9eHL8H34Mfwcvo3rz6hR7+MMQu/8bQDFshfBzIQ3Mpj8Bypkg7puD7qKTSIc&#10;Ni+mZ1V1TgmHo3p6cTk9z7oXx2QfYnojnCHZaGiAtqGabP02pl3oY0i+Kzqt2hulNTphtXytA1kz&#10;aPGkntTTao/+JExb0jf0sp6UiPzkLJ5ClPj9DSK4e9vuqtEW6j/KgFbaapEL0vaDkCApqoEV8j3+&#10;bu7gYcAkPk4fqIAJOVACpWfm7lNytsBxf2b+IQnvdzYd8o2yLqAMJ+yyuXTtFscABYC5xFbu31Ae&#10;/FMfZTq+9MUvAAAA//8DAFBLAwQUAAYACAAAACEAfqVsatwAAAAHAQAADwAAAGRycy9kb3ducmV2&#10;LnhtbEyPwU7DMBBE70j8g7VI3KiTINomxKlQ1V4QB9ryAW68JBHxOortJPw9ywmOoxnNvCl3i+3F&#10;hKPvHClIVwkIpNqZjhoFH5fjwxaED5qM7h2hgm/0sKtub0pdGDfTCadzaASXkC+0gjaEoZDS1y1a&#10;7VduQGLv041WB5ZjI82oZy63vcySZC2t7ogXWj3gvsX66xytgnjQ++UtO15mc5piGg8zvpp3pe7v&#10;lpdnEAGX8BeGX3xGh4qZri6S8aJXsM2fOKlgk4NgO0sf+dpVwTpPQFal/M9f/QAAAP//AwBQSwEC&#10;LQAUAAYACAAAACEAtoM4kv4AAADhAQAAEwAAAAAAAAAAAAAAAAAAAAAAW0NvbnRlbnRfVHlwZXNd&#10;LnhtbFBLAQItABQABgAIAAAAIQA4/SH/1gAAAJQBAAALAAAAAAAAAAAAAAAAAC8BAABfcmVscy8u&#10;cmVsc1BLAQItABQABgAIAAAAIQAb+ro88QEAADEEAAAOAAAAAAAAAAAAAAAAAC4CAABkcnMvZTJv&#10;RG9jLnhtbFBLAQItABQABgAIAAAAIQB+pWxq3AAAAAcBAAAPAAAAAAAAAAAAAAAAAEsEAABkcnMv&#10;ZG93bnJldi54bWxQSwUGAAAAAAQABADzAAAAVAUAAAAA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5A4C1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6" behindDoc="0" locked="0" layoutInCell="0" allowOverlap="1" wp14:anchorId="06B44E7E" wp14:editId="4E33F8F6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6" style="position:absolute;margin-left:44.7pt;margin-top:3.95pt;width:61.75pt;height:30.5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cu8AEAADEEAAAOAAAAZHJzL2Uyb0RvYy54bWysU81uEzEQviPxDpbvZDcJTdNVNpWgChcE&#10;FYUzcrx21pL/ZLvZ5MYz8CRcEFKfIrwR49ltmgKXIvbgnbFnPs/3zXhxuTOabEWIytmajkclJcJy&#10;1yi7qemnj6sXc0piYrZh2llR072I9HL5/Nmi85WYuNbpRgQCIDZWna9pm5KviiLyVhgWR84LC4fS&#10;BcMSuGFTNIF1gG50MSnLWdG50PjguIgRdq/6Q7pEfCkFT++ljCIRXVOoLeEacF3ntVguWLUJzLeK&#10;D2Wwf6jCMGXh0iPUFUuM3Ab1B5RRPLjoZBpxZwonpeICOQCbcfkbm5uWeYFcQJzojzLF/wfL322v&#10;A1FNTc8oscxAiw5ff345fD/8ONwdvo2nn8dZo87HCkJv/HUYvAhmJryTweQ/UCE71HV/1FXsEuGw&#10;eT5/OZkAPoej6fz8Yn6WMYuHZB9ieiOcIdmoaYC2oZps+zamPvQ+JN8VnVbNSmmNTtisX+tAtgxa&#10;vILv1WxAfxSmLelqejGdlYj86CyeQpT4/Q0iuFvb9NVoC/VnUXoZ0Ep7LXJB2n4QEiRFNbBCPuD3&#10;cwcPAybxfvpABUzIgRIoPTF3SMnZAsf9ifnHJLzf2XTMN8q6gDKcsMvm2jV7HAMUAOYSWzm8oTz4&#10;pz7K9PDSl78AAAD//wMAUEsDBBQABgAIAAAAIQC1eyVj3AAAAAcBAAAPAAAAZHJzL2Rvd25yZXYu&#10;eG1sTI7BTsMwEETvSPyDtUjcqJ0oKk3IpgIkQEhc0vYD3HiJI2I7it02/D3LCW4zmtHMq7eLG8WZ&#10;5jgEj5CtFAjyXTCD7xEO+5e7DYiYtDd6DJ4QvinCtrm+qnVlwsW3dN6lXvCIj5VGsClNlZSxs+R0&#10;XIWJPGefYXY6sZ17aWZ94XE3ylyptXR68Pxg9UTPlrqv3ckhlPZVLm3mntLbULTv++LQf2QK8fZm&#10;eXwAkWhJf2X4xWd0aJjpGE7eRDEibMqCmwj3JQiO8yxncURYlwpkU8v//M0PAAAA//8DAFBLAQIt&#10;ABQABgAIAAAAIQC2gziS/gAAAOEBAAATAAAAAAAAAAAAAAAAAAAAAABbQ29udGVudF9UeXBlc10u&#10;eG1sUEsBAi0AFAAGAAgAAAAhADj9If/WAAAAlAEAAAsAAAAAAAAAAAAAAAAALwEAAF9yZWxzLy5y&#10;ZWxzUEsBAi0AFAAGAAgAAAAhABbIly7wAQAAMQQAAA4AAAAAAAAAAAAAAAAALgIAAGRycy9lMm9E&#10;b2MueG1sUEsBAi0AFAAGAAgAAAAhALV7JWPcAAAABwEAAA8AAAAAAAAAAAAAAAAASgQAAGRycy9k&#10;b3ducmV2LnhtbFBLBQYAAAAABAAEAPMAAABTBQAAAAA=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5A4C1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0" behindDoc="0" locked="0" layoutInCell="0" allowOverlap="1" wp14:anchorId="6FA85773" wp14:editId="282FD1B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28575" b="24765"/>
                      <wp:wrapNone/>
                      <wp:docPr id="6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26" style="position:absolute;margin-left:45.35pt;margin-top:3.95pt;width:62.25pt;height:31.0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fj8gEAADEEAAAOAAAAZHJzL2Uyb0RvYy54bWysU81uEzEQviPxDpbvZDcNSUiUTVVRhQuC&#10;irZn5HjtrCX/yXazyY1n4Em4IKQ+xfJGjCfbNAUuRezBO2PPfJ7vm/HifGc02YoQlbMVHQ5KSoTl&#10;rlZ2U9Hbm9WrN5TExGzNtLOionsR6fny5YtF6+fizDVO1yIQALFx3vqKNin5eVFE3gjD4sB5YeFQ&#10;umBYAjdsijqwFtCNLs7KclK0LtQ+OC5ihN3LwyFdIr6UgqePUkaRiK4o1JZwDbiu81osF2y+Ccw3&#10;ivdlsH+owjBl4dIj1CVLjNwF9QeUUTy46GQacGcKJ6XiAjkAm2H5G5vrhnmBXECc6I8yxf8Hyz9s&#10;rwJRdUUnlFhmoEXd159fuu/dj+6++zYcfZ5kjVof5xB67a9C70UwM+GdDCb/gQrZoa77o65ilwiH&#10;zemsHE/HlHA4Gs1ej0bjjFk8JvsQ0zvhDMlGRQO0DdVk2/cxHUIfQvJd0WlVr5TW6ITN+q0OZMug&#10;xavx9GJ60aM/CdOWtBWdjSYlIj85i6cQJX5/gwjuztaHarSF+rMoBxnQSnstckHafhISJEU1sELe&#10;4x/mDh4GTOLD9IEKmJADJVB6Zm6fkrMFjvsz849JeL+z6ZhvlHUBZThhl821q/c4BigAzCW2sn9D&#10;efBPfZTp8aUvfwEAAP//AwBQSwMEFAAGAAgAAAAhAOiPynXdAAAABwEAAA8AAABkcnMvZG93bnJl&#10;di54bWxMjstOwzAURPdI/IN1kdggajeIpA1xKoSEQKxIYdGlG9/GUf2IYrcJf89lRZejGZ051WZ2&#10;lp1xjH3wEpYLAQx9G3TvOwnfX6/3K2AxKa+VDR4l/GCETX19ValSh8k3eN6mjhHEx1JJMCkNJeex&#10;NehUXIQBPXWHMDqVKI4d16OaCO4sz4TIuVO9pwejBnwx2B63Jyehm0LTTObh7dPe7Y75Sr9/FHmQ&#10;8vZmfn4ClnBO/2P40yd1qMlpH05eR2YlrEVBSwnFGhjV2fIxA7anLATwuuKX/vUvAAAA//8DAFBL&#10;AQItABQABgAIAAAAIQC2gziS/gAAAOEBAAATAAAAAAAAAAAAAAAAAAAAAABbQ29udGVudF9UeXBl&#10;c10ueG1sUEsBAi0AFAAGAAgAAAAhADj9If/WAAAAlAEAAAsAAAAAAAAAAAAAAAAALwEAAF9yZWxz&#10;Ly5yZWxzUEsBAi0AFAAGAAgAAAAhADwBd+PyAQAAMQQAAA4AAAAAAAAAAAAAAAAALgIAAGRycy9l&#10;Mm9Eb2MueG1sUEsBAi0AFAAGAAgAAAAhAOiPynXdAAAABwEAAA8AAAAAAAAAAAAAAAAATAQAAGRy&#10;cy9kb3ducmV2LnhtbFBLBQYAAAAABAAEAPMAAABWBQAAAAA=&#10;" o:allowincell="f" fillcolor="#f57a7a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kern w:val="0"/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  <w:szCs w:val="28"/>
              </w:rPr>
              <w:t>Зона отдыха предназначена для размещения спортивно-зрелищных зданий, спортивных клубов, спортивных баз и лагерей, а также пансионатов, гостиниц, кемпингов, домов отдыха, не оказывающих услуги по лечению.</w:t>
            </w:r>
          </w:p>
        </w:tc>
      </w:tr>
      <w:tr w:rsidR="005A4C13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0" allowOverlap="1" wp14:anchorId="2811F278" wp14:editId="538F9F36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66040</wp:posOffset>
                      </wp:positionV>
                      <wp:extent cx="784225" cy="387985"/>
                      <wp:effectExtent l="0" t="0" r="15875" b="12065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45.35pt;margin-top:5.2pt;width:61.75pt;height:30.5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WG8gEAADEEAAAOAAAAZHJzL2Uyb0RvYy54bWysU81uEzEQviPxDpbvZDcJTTZRNj20ChcE&#10;FYUzcrx2Ysl/st1scuMZeBIuCImnSN+I8WS7TYFLEXvwztgzn+f7Zry43BtNdiJE5WxNh4OSEmG5&#10;a5Td1PTTx9WripKYmG2YdlbU9CAivVy+fLFo/VyM3NbpRgQCIDbOW1/TbUp+XhSRb4VhceC8sHAo&#10;XTAsgRs2RRNYC+hGF6OynBStC40PjosYYff6dEiXiC+l4Om9lFEkomsKtSVcA67rvBbLBZtvAvNb&#10;xbsy2D9UYZiycGkPdc0SI3dB/QFlFA8uOpkG3JnCSam4QA7AZlj+xuZ2y7xALiBO9L1M8f/B8ne7&#10;m0BUU9MpJZYZaNHx6/2X4/fjj+PP47fh+PMoa9T6OIfQW38TOi+CmQnvZTD5D1TIHnU99LqKfSIc&#10;NqfV69HoghIOR+NqOqsuMmbxmOxDTG+EMyQbNQ3QNlST7d7GdAp9CMl3RadVs1JaoxM26ysdyI5B&#10;i4dX1Woy69CfhGlL2prOxpMSkZ+cxXOIEr+/QQR3Z5tTNdpC/VmUkwxopYMWuSBtPwgJkqIaWCHv&#10;8E9zBw8DJvFh+kAFTMiBEig9M7dLydkCx/2Z+X0S3u9s6vONsi6gDGfssrl2zQHHAAWAucRWdm8o&#10;D/65jzI9vvTlLwAAAP//AwBQSwMEFAAGAAgAAAAhAOgW7RfeAAAACAEAAA8AAABkcnMvZG93bnJl&#10;di54bWxMj8FOwzAQRO9I/IO1SFwQtRMFSkOcqipCiIoLDR+wjZckwl5HsduGv8ec4Dg7o5m31Xp2&#10;VpxoCoNnDdlCgSBuvRm40/DRPN8+gAgR2aD1TBq+KcC6vryosDT+zO902sdOpBIOJWroYxxLKUPb&#10;k8Ow8CNx8j795DAmOXXSTHhO5c7KXKl76XDgtNDjSNue2q/90Wkont7s4OZmt31tX26KDe+6ZoVa&#10;X1/Nm0cQkeb4F4Zf/IQOdWI6+CObIKyGlVqmZLqrAkTy86zIQRw0LLM7kHUl/z9Q/wAAAP//AwBQ&#10;SwECLQAUAAYACAAAACEAtoM4kv4AAADhAQAAEwAAAAAAAAAAAAAAAAAAAAAAW0NvbnRlbnRfVHlw&#10;ZXNdLnhtbFBLAQItABQABgAIAAAAIQA4/SH/1gAAAJQBAAALAAAAAAAAAAAAAAAAAC8BAABfcmVs&#10;cy8ucmVsc1BLAQItABQABgAIAAAAIQA+I3WG8gEAADEEAAAOAAAAAAAAAAAAAAAAAC4CAABkcnMv&#10;ZTJvRG9jLnhtbFBLAQItABQABgAIAAAAIQDoFu0X3gAAAAgBAAAPAAAAAAAAAAAAAAAAAEwEAABk&#10;cnMvZG93bnJldi54bWxQSwUGAAAAAAQABADzAAAAVwUAAAAA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5A4C13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4C5917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8" behindDoc="0" locked="0" layoutInCell="0" allowOverlap="1" wp14:anchorId="6F28A5E4" wp14:editId="0571163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8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26" style="position:absolute;margin-left:44.7pt;margin-top:3.95pt;width:61.75pt;height:30.5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jR8gEAADEEAAAOAAAAZHJzL2Uyb0RvYy54bWysU81uEzEQviPxDpbvZDdJmyZRNpWgKhcE&#10;FYUzcrx21pL/ZLvZ5MYz8CRcEBJPsbwR49ltmgKXIvbgnbHn+zzzzXh1uTea7ESIytmKjkclJcJy&#10;Vyu7rejHD9cv5pTExGzNtLOiogcR6eX6+bNV65di4hqnaxEIkNi4bH1Fm5T8sigib4RhceS8sHAo&#10;XTAsgRu2RR1YC+xGF5OynBWtC7UPjosYYfeqP6Rr5JdS8PROyigS0RWF3BKuAddNXov1ii23gflG&#10;8SEN9g9ZGKYsXHqkumKJkbug/qAyigcXnUwj7kzhpFRcYA1Qzbj8rZrbhnmBtYA40R9liv+Plr/d&#10;3QSi6opCoywz0KLuy8/P3bfue/ej+zqefjrLGrU+LiH01t+EwYtg5oL3Mpj8h1LIHnU9HHUV+0Q4&#10;bF7MzyaTc0o4HE3nF4v5eeYsHsA+xPRaOEOyUdEAbUM12e5NTH3ofUi+Kzqt6mulNTphu3mlA9kx&#10;aPFs8XI6mw3sj8K0JW1FF9NZicyPzuIpRYnf3yiCu7N1n422kH8WpZcBrXTQIiek7XshQVJUAzPk&#10;A38/d/AwYBLvpw9UQEAOlFDSE7EDJKMFjvsT8UcQ3u9sOuKNsi6gDCfVZXPj6gOOAQoAc4mtHN5Q&#10;HvxTH2V6eOnrXwAAAP//AwBQSwMEFAAGAAgAAAAhALrz1bjdAAAABwEAAA8AAABkcnMvZG93bnJl&#10;di54bWxMjk9Lw0AUxO+C32F5gje7adDaxGxKW7DgSboVvG6zz2ww+4fspkm/vc+T3maYYeZXbWbb&#10;swsOsfNOwHKRAUPXeN25VsDH6fVhDSwm5bTqvUMBV4ywqW9vKlVqP7kjXmRqGY24WCoBJqVQch4b&#10;g1bFhQ/oKPvyg1WJ7NByPaiJxm3P8yxbcas6Rw9GBdwbbL7laAVM74e9xKfdYXudgzy9STOGz50Q&#10;93fz9gVYwjn9leEXn9ChJqazH52OrBewLh6pKeC5AEZxvsxJnAWsigx4XfH//PUPAAAA//8DAFBL&#10;AQItABQABgAIAAAAIQC2gziS/gAAAOEBAAATAAAAAAAAAAAAAAAAAAAAAABbQ29udGVudF9UeXBl&#10;c10ueG1sUEsBAi0AFAAGAAgAAAAhADj9If/WAAAAlAEAAAsAAAAAAAAAAAAAAAAALwEAAF9yZWxz&#10;Ly5yZWxzUEsBAi0AFAAGAAgAAAAhABtqGNHyAQAAMQQAAA4AAAAAAAAAAAAAAAAALgIAAGRycy9l&#10;Mm9Eb2MueG1sUEsBAi0AFAAGAAgAAAAhALrz1bjdAAAABwEAAA8AAAAAAAAAAAAAAAAATAQAAGRy&#10;cy9kb3ducmV2LnhtbFBLBQYAAAAABAAEAPMAAABWBQAAAAA=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9152E0"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5A4C13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5A4C1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5A4C13" w:rsidRDefault="009152E0">
      <w:pPr>
        <w:pStyle w:val="a9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3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a3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a3"/>
          <w:bCs/>
          <w:iCs/>
          <w:color w:val="000000"/>
          <w:u w:val="none"/>
        </w:rPr>
        <w:t>отображено на карте функциональных зон.</w:t>
      </w:r>
    </w:p>
    <w:p w:rsidR="005A4C13" w:rsidRDefault="009152E0">
      <w:pPr>
        <w:pStyle w:val="a9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3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3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3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</w:t>
      </w:r>
      <w:r>
        <w:rPr>
          <w:rStyle w:val="a3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3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a3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5A4C13" w:rsidRDefault="009152E0">
      <w:pPr>
        <w:pStyle w:val="a9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5A4C13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№</w:t>
            </w:r>
          </w:p>
          <w:p w:rsidR="005A4C13" w:rsidRDefault="009152E0">
            <w:pPr>
              <w:pStyle w:val="af0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Наименование</w:t>
            </w:r>
          </w:p>
          <w:p w:rsidR="005A4C13" w:rsidRDefault="009152E0">
            <w:pPr>
              <w:pStyle w:val="af0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Площадь,</w:t>
            </w:r>
          </w:p>
          <w:p w:rsidR="005A4C13" w:rsidRDefault="009152E0">
            <w:pPr>
              <w:pStyle w:val="af0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3" w:rsidRDefault="009152E0">
            <w:pPr>
              <w:pStyle w:val="af0"/>
              <w:widowControl w:val="0"/>
            </w:pPr>
            <w:r>
              <w:t>Максимальная этажность</w:t>
            </w:r>
          </w:p>
        </w:tc>
      </w:tr>
      <w:tr w:rsidR="005A4C13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1219,13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5A4C1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A4C1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5A4C1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A4C1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5A4C1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13" w:rsidRDefault="005A4C13">
            <w:pPr>
              <w:pStyle w:val="af0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A4C13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1,57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2,11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0,94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17 229,22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val="5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6,02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A4C13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14240,31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5,85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</w:pPr>
            <w:r>
              <w:t>3,98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A4C13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</w:t>
            </w:r>
            <w:r>
              <w:rPr>
                <w:color w:val="auto"/>
                <w:sz w:val="24"/>
              </w:rPr>
              <w:lastRenderedPageBreak/>
              <w:t>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5A4C13" w:rsidRDefault="009152E0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A4C13" w:rsidRDefault="009152E0">
      <w:pPr>
        <w:spacing w:before="0" w:after="0"/>
        <w:ind w:firstLine="709"/>
        <w:contextualSpacing/>
        <w:jc w:val="both"/>
      </w:pPr>
      <w:r>
        <w:rPr>
          <w:rStyle w:val="a3"/>
          <w:iCs/>
          <w:color w:val="000000"/>
          <w:sz w:val="28"/>
          <w:szCs w:val="28"/>
          <w:u w:val="none"/>
        </w:rPr>
        <w:lastRenderedPageBreak/>
        <w:t xml:space="preserve">На территории муниципального образования – </w:t>
      </w:r>
      <w:proofErr w:type="spellStart"/>
      <w:r>
        <w:rPr>
          <w:rStyle w:val="a3"/>
          <w:iCs/>
          <w:color w:val="000000"/>
          <w:sz w:val="28"/>
          <w:szCs w:val="28"/>
          <w:u w:val="none"/>
        </w:rPr>
        <w:t>Касимовский</w:t>
      </w:r>
      <w:proofErr w:type="spellEnd"/>
      <w:r>
        <w:rPr>
          <w:rStyle w:val="a3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</w:t>
      </w:r>
      <w:r>
        <w:rPr>
          <w:rStyle w:val="a3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территориям </w:t>
      </w:r>
      <w:proofErr w:type="spellStart"/>
      <w:r>
        <w:rPr>
          <w:rStyle w:val="a3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Китовского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и </w:t>
      </w:r>
      <w:proofErr w:type="spellStart"/>
      <w:r>
        <w:rPr>
          <w:rStyle w:val="a3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Ибердусского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сельских округов</w:t>
      </w:r>
      <w:r>
        <w:rPr>
          <w:rStyle w:val="a3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и местного значения.</w:t>
      </w:r>
    </w:p>
    <w:p w:rsidR="005A4C13" w:rsidRDefault="005A4C13">
      <w:pPr>
        <w:spacing w:before="0" w:after="0"/>
        <w:ind w:firstLine="709"/>
        <w:contextualSpacing/>
        <w:jc w:val="both"/>
        <w:rPr>
          <w:shd w:val="clear" w:color="auto" w:fill="FFFF00"/>
        </w:rPr>
      </w:pPr>
    </w:p>
    <w:sectPr w:rsidR="005A4C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B0" w:rsidRDefault="009776B0">
      <w:pPr>
        <w:spacing w:before="0" w:after="0"/>
      </w:pPr>
      <w:r>
        <w:separator/>
      </w:r>
    </w:p>
  </w:endnote>
  <w:endnote w:type="continuationSeparator" w:id="0">
    <w:p w:rsidR="009776B0" w:rsidRDefault="009776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B0" w:rsidRDefault="009776B0">
      <w:pPr>
        <w:spacing w:before="0" w:after="0"/>
      </w:pPr>
      <w:r>
        <w:separator/>
      </w:r>
    </w:p>
  </w:footnote>
  <w:footnote w:type="continuationSeparator" w:id="0">
    <w:p w:rsidR="009776B0" w:rsidRDefault="009776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9152E0">
    <w:pPr>
      <w:pStyle w:val="af3"/>
    </w:pPr>
    <w:r>
      <w:fldChar w:fldCharType="begin"/>
    </w:r>
    <w:r>
      <w:instrText xml:space="preserve"> PAGE </w:instrText>
    </w:r>
    <w:r>
      <w:fldChar w:fldCharType="separate"/>
    </w:r>
    <w:r w:rsidR="00444956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9152E0">
    <w:pPr>
      <w:pStyle w:val="af3"/>
    </w:pPr>
    <w:r>
      <w:fldChar w:fldCharType="begin"/>
    </w:r>
    <w:r>
      <w:instrText xml:space="preserve"> PAGE </w:instrText>
    </w:r>
    <w:r>
      <w:fldChar w:fldCharType="separate"/>
    </w:r>
    <w:r w:rsidR="00444956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3" w:rsidRDefault="005A4C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72A"/>
    <w:multiLevelType w:val="multilevel"/>
    <w:tmpl w:val="E7486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4B2458"/>
    <w:multiLevelType w:val="multilevel"/>
    <w:tmpl w:val="FB7ED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D601A8"/>
    <w:multiLevelType w:val="multilevel"/>
    <w:tmpl w:val="96FE2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4C13"/>
    <w:rsid w:val="00356FFF"/>
    <w:rsid w:val="00444956"/>
    <w:rsid w:val="004C5917"/>
    <w:rsid w:val="005A4C13"/>
    <w:rsid w:val="009152E0"/>
    <w:rsid w:val="009776B0"/>
    <w:rsid w:val="00E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3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9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a">
    <w:name w:val="List"/>
    <w:basedOn w:val="a"/>
    <w:pPr>
      <w:ind w:left="283" w:hanging="283"/>
    </w:pPr>
    <w:rPr>
      <w:color w:val="FFFFFF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pPr>
      <w:ind w:left="757"/>
    </w:pPr>
    <w:rPr>
      <w:color w:val="808080"/>
    </w:rPr>
  </w:style>
  <w:style w:type="paragraph" w:customStyle="1" w:styleId="af0">
    <w:name w:val="Содержимое таблицы"/>
    <w:basedOn w:val="a"/>
    <w:qFormat/>
    <w:pPr>
      <w:suppressLineNumbers/>
      <w:spacing w:before="0" w:after="0"/>
    </w:pPr>
  </w:style>
  <w:style w:type="paragraph" w:styleId="af1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2">
    <w:name w:val="Заголовок таблицы"/>
    <w:basedOn w:val="af0"/>
    <w:qFormat/>
    <w:rPr>
      <w:b/>
      <w:bCs/>
    </w:rPr>
  </w:style>
  <w:style w:type="paragraph" w:styleId="af3">
    <w:name w:val="header"/>
    <w:basedOn w:val="a"/>
  </w:style>
  <w:style w:type="paragraph" w:styleId="af4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5">
    <w:name w:val="Верхний колонтитул слева"/>
    <w:basedOn w:val="af3"/>
    <w:qFormat/>
    <w:pPr>
      <w:suppressLineNumbers/>
      <w:tabs>
        <w:tab w:val="center" w:pos="5031"/>
        <w:tab w:val="right" w:pos="10062"/>
      </w:tabs>
    </w:pPr>
  </w:style>
  <w:style w:type="paragraph" w:customStyle="1" w:styleId="af6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3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9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a">
    <w:name w:val="List"/>
    <w:basedOn w:val="a"/>
    <w:pPr>
      <w:ind w:left="283" w:hanging="283"/>
    </w:pPr>
    <w:rPr>
      <w:color w:val="FFFFFF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pPr>
      <w:ind w:left="757"/>
    </w:pPr>
    <w:rPr>
      <w:color w:val="808080"/>
    </w:rPr>
  </w:style>
  <w:style w:type="paragraph" w:customStyle="1" w:styleId="af0">
    <w:name w:val="Содержимое таблицы"/>
    <w:basedOn w:val="a"/>
    <w:qFormat/>
    <w:pPr>
      <w:suppressLineNumbers/>
      <w:spacing w:before="0" w:after="0"/>
    </w:pPr>
  </w:style>
  <w:style w:type="paragraph" w:styleId="af1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2">
    <w:name w:val="Заголовок таблицы"/>
    <w:basedOn w:val="af0"/>
    <w:qFormat/>
    <w:rPr>
      <w:b/>
      <w:bCs/>
    </w:rPr>
  </w:style>
  <w:style w:type="paragraph" w:styleId="af3">
    <w:name w:val="header"/>
    <w:basedOn w:val="a"/>
  </w:style>
  <w:style w:type="paragraph" w:styleId="af4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5">
    <w:name w:val="Верхний колонтитул слева"/>
    <w:basedOn w:val="af3"/>
    <w:qFormat/>
    <w:pPr>
      <w:suppressLineNumbers/>
      <w:tabs>
        <w:tab w:val="center" w:pos="5031"/>
        <w:tab w:val="right" w:pos="10062"/>
      </w:tabs>
    </w:pPr>
  </w:style>
  <w:style w:type="paragraph" w:customStyle="1" w:styleId="af6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529</cp:revision>
  <cp:lastPrinted>2025-05-20T12:35:00Z</cp:lastPrinted>
  <dcterms:created xsi:type="dcterms:W3CDTF">2024-01-19T12:41:00Z</dcterms:created>
  <dcterms:modified xsi:type="dcterms:W3CDTF">2025-05-20T12:36:00Z</dcterms:modified>
  <dc:language>ru-RU</dc:language>
</cp:coreProperties>
</file>