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D70" w:rsidRDefault="00046C89">
      <w:pPr>
        <w:keepNext/>
        <w:spacing w:before="0" w:after="0"/>
        <w:ind w:left="5670"/>
        <w:jc w:val="left"/>
        <w:rPr>
          <w:kern w:val="2"/>
        </w:rPr>
      </w:pPr>
      <w:r>
        <w:rPr>
          <w:kern w:val="2"/>
        </w:rPr>
        <w:t>Утвержден</w:t>
      </w:r>
    </w:p>
    <w:p w:rsidR="00973D70" w:rsidRDefault="00046C89">
      <w:pPr>
        <w:spacing w:before="0" w:after="0"/>
        <w:ind w:left="5670"/>
        <w:jc w:val="left"/>
      </w:pPr>
      <w:r>
        <w:t>постановлени</w:t>
      </w:r>
      <w:r>
        <w:rPr>
          <w:kern w:val="2"/>
        </w:rPr>
        <w:t>ем</w:t>
      </w:r>
      <w:r>
        <w:t xml:space="preserve"> главного управления</w:t>
      </w:r>
    </w:p>
    <w:p w:rsidR="00973D70" w:rsidRDefault="00046C8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973D70" w:rsidRDefault="00046C89">
      <w:pPr>
        <w:keepNext/>
        <w:spacing w:before="0" w:after="0"/>
        <w:ind w:left="5670"/>
        <w:jc w:val="left"/>
      </w:pPr>
      <w:r>
        <w:t>Рязанской области</w:t>
      </w:r>
    </w:p>
    <w:p w:rsidR="00973D70" w:rsidRDefault="00A93D82">
      <w:pPr>
        <w:keepNext/>
        <w:tabs>
          <w:tab w:val="left" w:pos="5100"/>
        </w:tabs>
        <w:spacing w:before="0" w:after="0"/>
        <w:ind w:left="5670"/>
        <w:jc w:val="left"/>
      </w:pPr>
      <w:r>
        <w:t>от 20 мая 2025 г.</w:t>
      </w:r>
      <w:r w:rsidR="00046C89">
        <w:t xml:space="preserve"> №</w:t>
      </w:r>
      <w:r>
        <w:t xml:space="preserve"> 384-п</w:t>
      </w:r>
      <w:bookmarkStart w:id="0" w:name="_GoBack"/>
      <w:bookmarkEnd w:id="0"/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046C89">
      <w:pPr>
        <w:pStyle w:val="a0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973D70" w:rsidRDefault="00046C89">
      <w:pPr>
        <w:pStyle w:val="a0"/>
        <w:spacing w:after="6"/>
        <w:ind w:firstLine="0"/>
        <w:jc w:val="center"/>
      </w:pPr>
      <w:r>
        <w:rPr>
          <w:kern w:val="2"/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rFonts w:eastAsia="Calibri" w:cs="Calibri"/>
          <w:color w:val="auto"/>
          <w:sz w:val="32"/>
          <w:szCs w:val="32"/>
        </w:rPr>
        <w:t>Касимовский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Calibri" w:cs="Calibri"/>
          <w:color w:val="auto"/>
          <w:sz w:val="32"/>
          <w:szCs w:val="32"/>
        </w:rPr>
        <w:t>Погостинского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sz w:val="32"/>
          <w:szCs w:val="32"/>
        </w:rPr>
        <w:br/>
        <w:t xml:space="preserve">и </w:t>
      </w:r>
      <w:proofErr w:type="spellStart"/>
      <w:r>
        <w:rPr>
          <w:rFonts w:eastAsia="Calibri" w:cs="Calibri"/>
          <w:color w:val="auto"/>
          <w:sz w:val="32"/>
          <w:szCs w:val="32"/>
        </w:rPr>
        <w:t>Гиблицкого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сельских округов </w:t>
      </w:r>
      <w:proofErr w:type="spellStart"/>
      <w:r>
        <w:rPr>
          <w:rFonts w:eastAsia="Calibri" w:cs="Calibri"/>
          <w:color w:val="auto"/>
          <w:sz w:val="32"/>
          <w:szCs w:val="32"/>
        </w:rPr>
        <w:t>Касимовского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района  </w:t>
      </w:r>
    </w:p>
    <w:p w:rsidR="00973D70" w:rsidRDefault="00046C89">
      <w:pPr>
        <w:pStyle w:val="a0"/>
        <w:spacing w:after="6"/>
        <w:ind w:firstLine="0"/>
        <w:jc w:val="center"/>
      </w:pPr>
      <w:r>
        <w:rPr>
          <w:rFonts w:eastAsia="Calibri" w:cs="Calibri"/>
          <w:color w:val="auto"/>
          <w:sz w:val="32"/>
          <w:szCs w:val="32"/>
        </w:rPr>
        <w:t xml:space="preserve">Рязанской области </w:t>
      </w:r>
    </w:p>
    <w:p w:rsidR="00973D70" w:rsidRDefault="00046C89">
      <w:pPr>
        <w:pStyle w:val="a0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73D70" w:rsidRDefault="00973D70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73D70" w:rsidRDefault="00046C89">
      <w:pPr>
        <w:pStyle w:val="a0"/>
        <w:keepNext/>
        <w:spacing w:after="6"/>
        <w:ind w:firstLine="0"/>
        <w:jc w:val="center"/>
        <w:rPr>
          <w:sz w:val="32"/>
          <w:szCs w:val="32"/>
        </w:rPr>
        <w:sectPr w:rsidR="00973D7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973D70" w:rsidRDefault="00046C89">
      <w:pPr>
        <w:keepNext/>
        <w:widowControl w:val="0"/>
        <w:numPr>
          <w:ilvl w:val="0"/>
          <w:numId w:val="2"/>
        </w:numPr>
        <w:spacing w:before="0" w:after="0"/>
        <w:ind w:left="709"/>
        <w:jc w:val="left"/>
      </w:pPr>
      <w:r>
        <w:rPr>
          <w:b/>
          <w:bCs/>
          <w:sz w:val="28"/>
          <w:szCs w:val="28"/>
          <w:lang w:eastAsia="ru-RU"/>
        </w:rPr>
        <w:lastRenderedPageBreak/>
        <w:t>Введение</w:t>
      </w:r>
    </w:p>
    <w:p w:rsidR="00973D70" w:rsidRDefault="00046C89">
      <w:pPr>
        <w:widowControl w:val="0"/>
        <w:numPr>
          <w:ilvl w:val="0"/>
          <w:numId w:val="2"/>
        </w:numPr>
        <w:spacing w:before="240" w:after="0"/>
        <w:ind w:firstLine="709"/>
        <w:jc w:val="both"/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Касимовский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Погостинского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и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Гиблицкого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сельских округов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Касимовского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района Рязанской области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iCs/>
          <w:sz w:val="28"/>
          <w:szCs w:val="28"/>
          <w:lang w:eastAsia="ru-RU"/>
        </w:rPr>
        <w:t>далее – генеральный план</w:t>
      </w:r>
      <w:r>
        <w:rPr>
          <w:iCs/>
          <w:sz w:val="28"/>
          <w:szCs w:val="28"/>
          <w:shd w:val="clear" w:color="auto" w:fill="FFFFFF"/>
          <w:lang w:eastAsia="ru-RU"/>
        </w:rPr>
        <w:t>) подготовлен на основании постановления главного управления архитектуры и градостроительства Рязанской области от 19.12.2024 № 776-п,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</w:t>
      </w:r>
      <w:r>
        <w:rPr>
          <w:iCs/>
          <w:sz w:val="28"/>
          <w:szCs w:val="28"/>
          <w:shd w:val="clear" w:color="auto" w:fill="FFFFFF"/>
          <w:lang w:eastAsia="ru-RU"/>
        </w:rPr>
        <w:t>О преобразовании муниципальных образований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области путем объединения поселений, входящих в состав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973D70" w:rsidRDefault="00973D70">
      <w:pPr>
        <w:pStyle w:val="1"/>
        <w:ind w:firstLine="709"/>
      </w:pPr>
    </w:p>
    <w:p w:rsidR="00973D70" w:rsidRDefault="00046C89">
      <w:pPr>
        <w:pStyle w:val="1"/>
        <w:numPr>
          <w:ilvl w:val="0"/>
          <w:numId w:val="0"/>
        </w:numPr>
        <w:ind w:firstLine="709"/>
      </w:pPr>
      <w:r>
        <w:br w:type="page"/>
      </w:r>
    </w:p>
    <w:p w:rsidR="00973D70" w:rsidRDefault="00046C89">
      <w:pPr>
        <w:pStyle w:val="1"/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973D70" w:rsidRPr="00972FAE" w:rsidRDefault="00973D70">
      <w:pPr>
        <w:pStyle w:val="a0"/>
        <w:numPr>
          <w:ilvl w:val="0"/>
          <w:numId w:val="2"/>
        </w:numPr>
        <w:rPr>
          <w:color w:val="FF3838"/>
          <w:sz w:val="20"/>
          <w:szCs w:val="20"/>
        </w:rPr>
      </w:pPr>
    </w:p>
    <w:p w:rsidR="00973D70" w:rsidRDefault="00046C89">
      <w:pPr>
        <w:pStyle w:val="a0"/>
        <w:numPr>
          <w:ilvl w:val="0"/>
          <w:numId w:val="2"/>
        </w:numPr>
        <w:ind w:firstLine="709"/>
      </w:pPr>
      <w:r>
        <w:rPr>
          <w:iCs/>
          <w:kern w:val="2"/>
          <w:szCs w:val="28"/>
          <w:shd w:val="clear" w:color="auto" w:fill="FFFFFF"/>
          <w:lang w:eastAsia="ar-SA"/>
        </w:rPr>
        <w:t xml:space="preserve">Планируемые объекты местного значения на </w:t>
      </w:r>
      <w:r>
        <w:rPr>
          <w:rStyle w:val="-"/>
          <w:iCs/>
          <w:color w:val="000000"/>
          <w:kern w:val="2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Касимовский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</w:t>
      </w:r>
      <w:r>
        <w:rPr>
          <w:rStyle w:val="20"/>
          <w:bCs/>
          <w:iCs/>
          <w:spacing w:val="5"/>
          <w:kern w:val="2"/>
          <w:szCs w:val="28"/>
        </w:rPr>
        <w:t xml:space="preserve">к территориям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Погостинского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и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Гиблицкого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сельских округов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Касимовского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района Рязанской области</w:t>
      </w:r>
      <w:r>
        <w:rPr>
          <w:iCs/>
          <w:kern w:val="2"/>
          <w:szCs w:val="28"/>
          <w:shd w:val="clear" w:color="auto" w:fill="FFFFFF"/>
        </w:rPr>
        <w:t xml:space="preserve"> представлены в таблице 1.1.</w:t>
      </w:r>
    </w:p>
    <w:p w:rsidR="00972FAE" w:rsidRPr="00972FAE" w:rsidRDefault="00972FAE">
      <w:pPr>
        <w:pStyle w:val="a0"/>
        <w:numPr>
          <w:ilvl w:val="0"/>
          <w:numId w:val="2"/>
        </w:numPr>
        <w:jc w:val="right"/>
        <w:rPr>
          <w:rStyle w:val="-"/>
          <w:color w:val="000000"/>
          <w:u w:val="none"/>
        </w:rPr>
      </w:pPr>
    </w:p>
    <w:p w:rsidR="00973D70" w:rsidRDefault="00046C89">
      <w:pPr>
        <w:pStyle w:val="a0"/>
        <w:numPr>
          <w:ilvl w:val="0"/>
          <w:numId w:val="2"/>
        </w:numPr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1.1</w:t>
      </w:r>
    </w:p>
    <w:tbl>
      <w:tblPr>
        <w:tblW w:w="993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1481"/>
        <w:gridCol w:w="1595"/>
        <w:gridCol w:w="1705"/>
        <w:gridCol w:w="1467"/>
        <w:gridCol w:w="1470"/>
        <w:gridCol w:w="1657"/>
      </w:tblGrid>
      <w:tr w:rsidR="00973D7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  <w:kern w:val="2"/>
              </w:rPr>
              <w:t>Вид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Назначение  объекта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57"/>
              <w:textAlignment w:val="baseline"/>
            </w:pPr>
            <w:r>
              <w:rPr>
                <w:color w:val="auto"/>
              </w:rPr>
              <w:t>Наименование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57"/>
              <w:textAlignment w:val="baseline"/>
            </w:pPr>
            <w:r>
              <w:rPr>
                <w:color w:val="auto"/>
              </w:rPr>
              <w:t>и основные характерист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ки объ</w:t>
            </w:r>
            <w:r>
              <w:rPr>
                <w:color w:val="auto"/>
                <w:kern w:val="2"/>
              </w:rPr>
              <w:t>екта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Местопол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жение об</w:t>
            </w:r>
            <w:r>
              <w:rPr>
                <w:color w:val="auto"/>
              </w:rPr>
              <w:t>ъ</w:t>
            </w:r>
            <w:r>
              <w:rPr>
                <w:color w:val="auto"/>
              </w:rPr>
              <w:t>екта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-57" w:right="-57"/>
            </w:pPr>
            <w:r>
              <w:rPr>
                <w:color w:val="auto"/>
                <w:kern w:val="2"/>
              </w:rPr>
              <w:t>Функци</w:t>
            </w:r>
            <w:r>
              <w:rPr>
                <w:color w:val="auto"/>
                <w:kern w:val="2"/>
              </w:rPr>
              <w:t>о</w:t>
            </w:r>
            <w:r>
              <w:rPr>
                <w:color w:val="auto"/>
                <w:kern w:val="2"/>
              </w:rPr>
              <w:t>нальная зона (для объектов не являющи</w:t>
            </w:r>
            <w:r>
              <w:rPr>
                <w:color w:val="auto"/>
                <w:kern w:val="2"/>
              </w:rPr>
              <w:t>х</w:t>
            </w:r>
            <w:r>
              <w:rPr>
                <w:color w:val="auto"/>
                <w:kern w:val="2"/>
              </w:rPr>
              <w:t>ся линейн</w:t>
            </w:r>
            <w:r>
              <w:rPr>
                <w:color w:val="auto"/>
                <w:kern w:val="2"/>
              </w:rPr>
              <w:t>ы</w:t>
            </w:r>
            <w:r>
              <w:rPr>
                <w:color w:val="auto"/>
                <w:kern w:val="2"/>
              </w:rPr>
              <w:t>ми)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-28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пользования территории</w:t>
            </w:r>
          </w:p>
        </w:tc>
      </w:tr>
      <w:tr w:rsidR="00973D70">
        <w:tc>
          <w:tcPr>
            <w:tcW w:w="9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Объекты </w:t>
            </w:r>
            <w:r>
              <w:rPr>
                <w:color w:val="auto"/>
                <w:kern w:val="2"/>
              </w:rPr>
              <w:t>местного</w:t>
            </w:r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значения</w:t>
            </w:r>
            <w:proofErr w:type="gramEnd"/>
            <w:r>
              <w:rPr>
                <w:kern w:val="2"/>
              </w:rPr>
              <w:t xml:space="preserve"> </w:t>
            </w:r>
            <w:r>
              <w:t xml:space="preserve">планируемые к </w:t>
            </w:r>
            <w:r>
              <w:rPr>
                <w:lang w:eastAsia="en-US"/>
              </w:rPr>
              <w:t>размещению</w:t>
            </w:r>
          </w:p>
        </w:tc>
      </w:tr>
      <w:tr w:rsidR="00973D70">
        <w:trPr>
          <w:trHeight w:val="253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Водозабор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(Код объекта 602041101)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Обеспечение населения питьевой водой нормативного качества и</w:t>
            </w:r>
            <w:r>
              <w:rPr>
                <w:lang w:eastAsia="en-US"/>
              </w:rPr>
              <w:br/>
              <w:t>в требуемом количестве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widowControl w:val="0"/>
              <w:numPr>
                <w:ilvl w:val="0"/>
                <w:numId w:val="2"/>
              </w:numPr>
              <w:suppressLineNumbers/>
              <w:suppressAutoHyphens w:val="0"/>
              <w:spacing w:before="0" w:after="0"/>
              <w:textAlignment w:val="baseline"/>
              <w:rPr>
                <w:kern w:val="2"/>
              </w:rPr>
            </w:pPr>
            <w:r>
              <w:rPr>
                <w:kern w:val="2"/>
              </w:rPr>
              <w:t>Определяются</w:t>
            </w:r>
          </w:p>
          <w:p w:rsidR="00973D70" w:rsidRDefault="00046C89">
            <w:pPr>
              <w:widowControl w:val="0"/>
              <w:numPr>
                <w:ilvl w:val="0"/>
                <w:numId w:val="2"/>
              </w:numPr>
              <w:suppressLineNumbers/>
              <w:suppressAutoHyphens w:val="0"/>
              <w:spacing w:before="0" w:after="0"/>
              <w:textAlignment w:val="baseline"/>
              <w:rPr>
                <w:kern w:val="2"/>
              </w:rPr>
            </w:pPr>
            <w:r>
              <w:rPr>
                <w:kern w:val="2"/>
              </w:rPr>
              <w:t>на последу</w:t>
            </w:r>
            <w:r>
              <w:rPr>
                <w:kern w:val="2"/>
              </w:rPr>
              <w:t>ю</w:t>
            </w:r>
            <w:r>
              <w:rPr>
                <w:kern w:val="2"/>
              </w:rPr>
              <w:t>щих стадиях проектиров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overflowPunct w:val="0"/>
              <w:ind w:left="-57"/>
              <w:textAlignment w:val="baseline"/>
            </w:pPr>
            <w:proofErr w:type="spellStart"/>
            <w:r>
              <w:rPr>
                <w:rStyle w:val="20"/>
                <w:rFonts w:eastAsia="Calibri" w:cs="Calibri"/>
              </w:rPr>
              <w:t>Касимовский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</w:t>
            </w:r>
            <w:r>
              <w:rPr>
                <w:rStyle w:val="20"/>
                <w:rFonts w:eastAsia="Calibri" w:cs="Calibri"/>
              </w:rPr>
              <w:t>ь</w:t>
            </w:r>
            <w:r>
              <w:rPr>
                <w:rStyle w:val="20"/>
                <w:rFonts w:eastAsia="Calibri" w:cs="Calibri"/>
              </w:rPr>
              <w:t xml:space="preserve">ный </w:t>
            </w:r>
            <w:r>
              <w:rPr>
                <w:rStyle w:val="20"/>
                <w:kern w:val="2"/>
              </w:rPr>
              <w:t>округ,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-28"/>
              <w:textAlignment w:val="baseline"/>
              <w:rPr>
                <w:kern w:val="2"/>
              </w:rPr>
            </w:pPr>
            <w:r>
              <w:rPr>
                <w:rStyle w:val="20"/>
                <w:kern w:val="2"/>
              </w:rPr>
              <w:t>с. Погост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Жилые зоны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ind w:left="-57" w:right="-57"/>
              <w:textAlignment w:val="baseline"/>
              <w:rPr>
                <w:color w:val="00A933"/>
              </w:rPr>
            </w:pPr>
            <w:r>
              <w:rPr>
                <w:rStyle w:val="20"/>
                <w:kern w:val="2"/>
              </w:rPr>
              <w:t>Зоны санитарной охраны источников питьевого</w:t>
            </w:r>
            <w:r>
              <w:rPr>
                <w:rStyle w:val="20"/>
                <w:kern w:val="2"/>
              </w:rPr>
              <w:br/>
              <w:t>и хозяйственно-бытового водоснабжения</w:t>
            </w:r>
          </w:p>
        </w:tc>
      </w:tr>
    </w:tbl>
    <w:p w:rsidR="00972FAE" w:rsidRPr="00972FAE" w:rsidRDefault="00972FAE">
      <w:pPr>
        <w:pStyle w:val="a0"/>
        <w:numPr>
          <w:ilvl w:val="0"/>
          <w:numId w:val="2"/>
        </w:numPr>
        <w:suppressLineNumbers/>
        <w:spacing w:before="57"/>
        <w:ind w:firstLine="709"/>
        <w:contextualSpacing/>
        <w:rPr>
          <w:rStyle w:val="-"/>
          <w:color w:val="000000"/>
          <w:u w:val="none"/>
        </w:rPr>
      </w:pPr>
    </w:p>
    <w:p w:rsidR="00973D70" w:rsidRDefault="00046C89">
      <w:pPr>
        <w:pStyle w:val="a0"/>
        <w:numPr>
          <w:ilvl w:val="0"/>
          <w:numId w:val="2"/>
        </w:numPr>
        <w:suppressLineNumbers/>
        <w:spacing w:before="57"/>
        <w:ind w:firstLine="709"/>
        <w:contextualSpacing/>
      </w:pPr>
      <w:r>
        <w:rPr>
          <w:rStyle w:val="-"/>
          <w:bCs/>
          <w:iCs/>
          <w:color w:val="000000"/>
          <w:spacing w:val="4"/>
          <w:kern w:val="2"/>
          <w:szCs w:val="28"/>
          <w:u w:val="none"/>
        </w:rPr>
        <w:t>Планируемые</w:t>
      </w:r>
      <w:r>
        <w:rPr>
          <w:rStyle w:val="-"/>
          <w:bCs/>
          <w:iCs/>
          <w:color w:val="000000"/>
          <w:spacing w:val="4"/>
          <w:kern w:val="2"/>
          <w:szCs w:val="28"/>
          <w:u w:val="none"/>
          <w:shd w:val="clear" w:color="auto" w:fill="FFFFFF"/>
        </w:rPr>
        <w:t xml:space="preserve"> объекты местного значения отображены на карте планируемого размещения объектов местного значения.</w:t>
      </w:r>
    </w:p>
    <w:p w:rsidR="00973D70" w:rsidRDefault="00973D70">
      <w:pPr>
        <w:pStyle w:val="a0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</w:p>
    <w:p w:rsidR="00973D70" w:rsidRDefault="00046C89">
      <w:pPr>
        <w:pStyle w:val="1"/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973D70" w:rsidRDefault="00973D70">
      <w:pPr>
        <w:pStyle w:val="a0"/>
        <w:numPr>
          <w:ilvl w:val="0"/>
          <w:numId w:val="2"/>
        </w:numPr>
        <w:rPr>
          <w:color w:val="FF3838"/>
          <w:szCs w:val="28"/>
        </w:rPr>
      </w:pPr>
    </w:p>
    <w:p w:rsidR="00973D70" w:rsidRDefault="00046C89">
      <w:pPr>
        <w:pStyle w:val="a0"/>
        <w:numPr>
          <w:ilvl w:val="0"/>
          <w:numId w:val="2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Касимовский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szCs w:val="28"/>
        </w:rPr>
        <w:t>Погостинского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Гиблицкого</w:t>
      </w:r>
      <w:proofErr w:type="spellEnd"/>
      <w:r>
        <w:rPr>
          <w:szCs w:val="28"/>
        </w:rPr>
        <w:t xml:space="preserve"> сельских округов </w:t>
      </w:r>
      <w:proofErr w:type="spellStart"/>
      <w:r>
        <w:rPr>
          <w:szCs w:val="28"/>
        </w:rPr>
        <w:t>Касимовского</w:t>
      </w:r>
      <w:proofErr w:type="spellEnd"/>
      <w:r>
        <w:rPr>
          <w:szCs w:val="28"/>
        </w:rPr>
        <w:t xml:space="preserve"> района Рязанской области учитывал</w:t>
      </w:r>
      <w:r>
        <w:rPr>
          <w:kern w:val="2"/>
          <w:szCs w:val="28"/>
        </w:rPr>
        <w:t>ось:</w:t>
      </w:r>
    </w:p>
    <w:p w:rsidR="00973D70" w:rsidRDefault="00046C89">
      <w:pPr>
        <w:pStyle w:val="a0"/>
        <w:numPr>
          <w:ilvl w:val="0"/>
          <w:numId w:val="2"/>
        </w:numPr>
        <w:ind w:firstLine="624"/>
      </w:pPr>
      <w:r>
        <w:rPr>
          <w:kern w:val="2"/>
          <w:szCs w:val="28"/>
        </w:rPr>
        <w:t>-</w:t>
      </w:r>
      <w:r>
        <w:rPr>
          <w:szCs w:val="28"/>
        </w:rPr>
        <w:t xml:space="preserve"> сложивш</w:t>
      </w:r>
      <w:r>
        <w:rPr>
          <w:kern w:val="2"/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kern w:val="2"/>
          <w:szCs w:val="28"/>
        </w:rPr>
        <w:t>е</w:t>
      </w:r>
      <w:r>
        <w:rPr>
          <w:szCs w:val="28"/>
        </w:rPr>
        <w:t xml:space="preserve"> земельных </w:t>
      </w:r>
      <w:r>
        <w:rPr>
          <w:kern w:val="2"/>
          <w:szCs w:val="28"/>
        </w:rPr>
        <w:t>участков;</w:t>
      </w:r>
    </w:p>
    <w:p w:rsidR="00973D70" w:rsidRDefault="00046C89">
      <w:pPr>
        <w:pStyle w:val="a0"/>
        <w:numPr>
          <w:ilvl w:val="0"/>
          <w:numId w:val="2"/>
        </w:numPr>
        <w:ind w:firstLine="624"/>
        <w:rPr>
          <w:kern w:val="2"/>
          <w:szCs w:val="28"/>
        </w:rPr>
      </w:pPr>
      <w:r>
        <w:rPr>
          <w:kern w:val="2"/>
          <w:szCs w:val="28"/>
        </w:rPr>
        <w:t>- рациональные формы расселения населения;</w:t>
      </w:r>
    </w:p>
    <w:p w:rsidR="00973D70" w:rsidRDefault="00046C89">
      <w:pPr>
        <w:pStyle w:val="a0"/>
        <w:numPr>
          <w:ilvl w:val="0"/>
          <w:numId w:val="2"/>
        </w:numPr>
        <w:ind w:firstLine="624"/>
      </w:pPr>
      <w:r>
        <w:rPr>
          <w:szCs w:val="28"/>
        </w:rPr>
        <w:lastRenderedPageBreak/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973D70" w:rsidRDefault="00046C89">
      <w:pPr>
        <w:pStyle w:val="a0"/>
        <w:numPr>
          <w:ilvl w:val="0"/>
          <w:numId w:val="2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973D70" w:rsidRDefault="00046C89">
      <w:pPr>
        <w:pStyle w:val="a0"/>
        <w:numPr>
          <w:ilvl w:val="0"/>
          <w:numId w:val="2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973D70" w:rsidRDefault="00046C89">
      <w:pPr>
        <w:pStyle w:val="a0"/>
        <w:numPr>
          <w:ilvl w:val="0"/>
          <w:numId w:val="2"/>
        </w:numPr>
        <w:ind w:firstLine="709"/>
        <w:contextualSpacing/>
        <w:rPr>
          <w:rStyle w:val="20"/>
          <w:iCs/>
          <w:spacing w:val="5"/>
          <w:kern w:val="2"/>
          <w:szCs w:val="28"/>
        </w:rPr>
      </w:pPr>
      <w:r>
        <w:rPr>
          <w:rStyle w:val="20"/>
          <w:iCs/>
          <w:spacing w:val="5"/>
          <w:kern w:val="2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iCs/>
          <w:spacing w:val="5"/>
          <w:kern w:val="2"/>
          <w:szCs w:val="28"/>
        </w:rPr>
        <w:t>Касимовский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20"/>
          <w:iCs/>
          <w:spacing w:val="5"/>
          <w:kern w:val="2"/>
          <w:szCs w:val="28"/>
        </w:rPr>
        <w:t>Погостинского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и </w:t>
      </w:r>
      <w:proofErr w:type="spellStart"/>
      <w:r>
        <w:rPr>
          <w:rStyle w:val="20"/>
          <w:iCs/>
          <w:spacing w:val="5"/>
          <w:kern w:val="2"/>
          <w:szCs w:val="28"/>
        </w:rPr>
        <w:t>Гиблицкого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сельских округов </w:t>
      </w:r>
      <w:proofErr w:type="spellStart"/>
      <w:r>
        <w:rPr>
          <w:rStyle w:val="20"/>
          <w:iCs/>
          <w:spacing w:val="5"/>
          <w:kern w:val="2"/>
          <w:szCs w:val="28"/>
        </w:rPr>
        <w:t>Касимовского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973D70" w:rsidRDefault="00046C89">
      <w:pPr>
        <w:pStyle w:val="a0"/>
        <w:jc w:val="right"/>
      </w:pPr>
      <w:r>
        <w:t>Таблица 2.1</w:t>
      </w:r>
    </w:p>
    <w:tbl>
      <w:tblPr>
        <w:tblW w:w="994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984"/>
        <w:gridCol w:w="2846"/>
        <w:gridCol w:w="4556"/>
      </w:tblGrid>
      <w:tr w:rsidR="00973D70" w:rsidTr="006F31C3">
        <w:trPr>
          <w:trHeight w:val="454"/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№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Обозначение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Наименование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</w:t>
            </w:r>
            <w:r>
              <w:rPr>
                <w:kern w:val="2"/>
              </w:rPr>
              <w:t>азначение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 зоны</w:t>
            </w:r>
          </w:p>
        </w:tc>
      </w:tr>
      <w:tr w:rsidR="00973D70" w:rsidTr="006F31C3">
        <w:trPr>
          <w:trHeight w:val="568"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73D70" w:rsidRDefault="00973D70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73D70" w:rsidRDefault="00973D70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73D70" w:rsidRDefault="00973D70">
            <w:pPr>
              <w:widowControl w:val="0"/>
              <w:snapToGrid w:val="0"/>
              <w:jc w:val="left"/>
              <w:rPr>
                <w:sz w:val="32"/>
                <w:szCs w:val="32"/>
              </w:rPr>
            </w:pPr>
          </w:p>
        </w:tc>
        <w:tc>
          <w:tcPr>
            <w:tcW w:w="4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73D70" w:rsidRDefault="00973D70">
            <w:pPr>
              <w:widowControl w:val="0"/>
              <w:snapToGrid w:val="0"/>
            </w:pPr>
          </w:p>
        </w:tc>
      </w:tr>
      <w:tr w:rsidR="00973D70">
        <w:trPr>
          <w:trHeight w:val="14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85pt;height:30.6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kern w:val="2"/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973D70">
        <w:trPr>
          <w:trHeight w:val="88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00c5" stroked="t" style="position:absolute;margin-left:18.45pt;margin-top:3.95pt;width:61.85pt;height:30.65pt;v-text-anchor:middle">
                      <w10:wrap type="none"/>
                      <v:fill o:detectmouseclick="t" type="solid" color2="#00ff3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kern w:val="2"/>
                <w:sz w:val="24"/>
                <w:lang w:eastAsia="ar-SA"/>
              </w:rPr>
              <w:t>Общественно-деловые зоны</w:t>
            </w:r>
            <w:r>
              <w:rPr>
                <w:rStyle w:val="20"/>
                <w:sz w:val="24"/>
                <w:lang w:eastAsia="ar-SA"/>
              </w:rPr>
              <w:t xml:space="preserve"> предназначены для размещения объектов здравоохранения, культуры, торговли, общественного питания,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объектов делового, общественного и коммерческого назначения.</w:t>
            </w:r>
          </w:p>
        </w:tc>
      </w:tr>
      <w:tr w:rsidR="00973D70">
        <w:trPr>
          <w:trHeight w:val="88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1.85pt;height:30.6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973D70">
        <w:trPr>
          <w:trHeight w:val="227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snapToGrid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86765" cy="380365"/>
                      <wp:effectExtent l="0" t="0" r="0" b="0"/>
                      <wp:wrapNone/>
                      <wp:docPr id="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18.45pt;margin-top:3.15pt;width:61.85pt;height:29.8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973D70">
        <w:trPr>
          <w:trHeight w:val="202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snapToGrid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86765" cy="380365"/>
                      <wp:effectExtent l="0" t="0" r="0" b="0"/>
                      <wp:wrapNone/>
                      <wp:docPr id="5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bd9684" stroked="t" style="position:absolute;margin-left:18.45pt;margin-top:3.15pt;width:61.85pt;height:29.85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suppressLineNumbers/>
              <w:ind w:left="57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Коммунально-складская зона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973D70">
        <w:trPr>
          <w:trHeight w:val="9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snapToGrid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86765" cy="380365"/>
                      <wp:effectExtent l="0" t="0" r="0" b="0"/>
                      <wp:wrapNone/>
                      <wp:docPr id="6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636382" stroked="t" style="position:absolute;margin-left:18.45pt;margin-top:3.15pt;width:61.85pt;height:29.8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энергоснабжения, теплоснабжения, газоснабжения, водоснабжения, водоотведения, очисткой стоков, связи.</w:t>
            </w:r>
          </w:p>
        </w:tc>
      </w:tr>
      <w:tr w:rsidR="00973D70">
        <w:trPr>
          <w:trHeight w:val="73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85pt;height:30.6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973D70">
        <w:trPr>
          <w:trHeight w:val="73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cdaa66" stroked="t" style="position:absolute;margin-left:18.45pt;margin-top:3.95pt;width:61.85pt;height:30.6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Fonts w:eastAsia="Calibri"/>
              </w:rPr>
              <w:t xml:space="preserve">Иные зоны сельскохозяйственного назначения предназначены для </w:t>
            </w:r>
            <w:r>
              <w:rPr>
                <w:kern w:val="2"/>
              </w:rP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973D70">
        <w:trPr>
          <w:trHeight w:val="73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9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00ffc5" stroked="t" style="position:absolute;margin-left:18.45pt;margin-top:3.95pt;width:61.85pt;height:30.65pt;v-text-anchor:middle">
                      <w10:wrap type="none"/>
                      <v:fill o:detectmouseclick="t" type="solid" color2="#ff003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 xml:space="preserve">Зона озелененных территорий общего </w:t>
            </w:r>
            <w:r>
              <w:rPr>
                <w:rStyle w:val="20"/>
              </w:rPr>
              <w:t>пользования (парки, сады, скверы, бульвары, городские леса)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proofErr w:type="gramStart"/>
            <w:r>
              <w:rPr>
                <w:rStyle w:val="20"/>
                <w:kern w:val="2"/>
                <w:sz w:val="24"/>
              </w:rPr>
              <w:t>Зона озелененных территорий общего пользования (лесопарки, парки, сады, скверы, бульвары, городские леса) предназначена для сохранения зеленых насажд</w:t>
            </w:r>
            <w:r>
              <w:rPr>
                <w:rStyle w:val="20"/>
                <w:sz w:val="24"/>
              </w:rPr>
              <w:t>ений</w:t>
            </w:r>
            <w:r>
              <w:rPr>
                <w:rStyle w:val="20"/>
                <w:kern w:val="2"/>
                <w:sz w:val="24"/>
              </w:rPr>
              <w:t>, размещения парков, скверов, бульваров, спортивных площадок.</w:t>
            </w:r>
            <w:proofErr w:type="gramEnd"/>
          </w:p>
        </w:tc>
      </w:tr>
      <w:tr w:rsidR="00973D70">
        <w:trPr>
          <w:trHeight w:val="73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10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85pt;height:30.6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  <w:kern w:val="2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973D70">
        <w:trPr>
          <w:trHeight w:val="73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0" b="0"/>
                      <wp:wrapNone/>
                      <wp:docPr id="11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85pt;height:30.6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973D70">
        <w:trPr>
          <w:trHeight w:val="73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textAlignment w:val="baseline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360" cy="436245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textAlignment w:val="baseline"/>
            </w:pPr>
            <w:r>
              <w:t xml:space="preserve"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</w:t>
            </w:r>
            <w:r>
              <w:lastRenderedPageBreak/>
              <w:t>регламентов, а также соответствующих культовых сооружений.</w:t>
            </w:r>
          </w:p>
        </w:tc>
      </w:tr>
    </w:tbl>
    <w:p w:rsidR="00973D70" w:rsidRDefault="00973D70">
      <w:pPr>
        <w:pStyle w:val="a0"/>
        <w:rPr>
          <w:szCs w:val="28"/>
        </w:rPr>
      </w:pPr>
    </w:p>
    <w:p w:rsidR="00973D70" w:rsidRDefault="00046C89">
      <w:pPr>
        <w:pStyle w:val="a0"/>
      </w:pPr>
      <w:r>
        <w:rPr>
          <w:szCs w:val="28"/>
        </w:rPr>
        <w:t>Функциональн</w:t>
      </w:r>
      <w:r>
        <w:rPr>
          <w:kern w:val="2"/>
        </w:rPr>
        <w:t>ое</w:t>
      </w:r>
      <w:r>
        <w:rPr>
          <w:szCs w:val="28"/>
        </w:rPr>
        <w:t xml:space="preserve"> зон</w:t>
      </w:r>
      <w:r>
        <w:rPr>
          <w:kern w:val="2"/>
        </w:rP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Касимовский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Погостинского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и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Гиблицкого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сельских округов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Касимовского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kern w:val="2"/>
          <w:u w:val="none"/>
        </w:rPr>
        <w:t>отображено на карте функциональных зон.</w:t>
      </w:r>
    </w:p>
    <w:p w:rsidR="00973D70" w:rsidRPr="00972FAE" w:rsidRDefault="00046C89">
      <w:pPr>
        <w:pStyle w:val="a0"/>
        <w:numPr>
          <w:ilvl w:val="0"/>
          <w:numId w:val="3"/>
        </w:numPr>
        <w:ind w:firstLine="709"/>
        <w:rPr>
          <w:rStyle w:val="-"/>
          <w:color w:val="000000"/>
          <w:u w:val="none"/>
        </w:rPr>
      </w:pPr>
      <w:r>
        <w:rPr>
          <w:rStyle w:val="-"/>
          <w:bCs/>
          <w:iCs/>
          <w:color w:val="000000"/>
          <w:kern w:val="2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Касимовский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Погостинского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и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Гиблицкого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сельских округов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Касимовского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района Рязанской области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в таблице 2.2.</w:t>
      </w:r>
    </w:p>
    <w:p w:rsidR="00972FAE" w:rsidRDefault="00972FAE" w:rsidP="00972FAE">
      <w:pPr>
        <w:pStyle w:val="a0"/>
      </w:pPr>
    </w:p>
    <w:p w:rsidR="00973D70" w:rsidRDefault="00046C89">
      <w:pPr>
        <w:pStyle w:val="a0"/>
        <w:numPr>
          <w:ilvl w:val="0"/>
          <w:numId w:val="3"/>
        </w:numPr>
        <w:ind w:firstLine="709"/>
        <w:contextualSpacing/>
        <w:jc w:val="right"/>
        <w:rPr>
          <w:rFonts w:eastAsia="Arial"/>
          <w:spacing w:val="4"/>
          <w:szCs w:val="28"/>
          <w:shd w:val="clear" w:color="auto" w:fill="FFFFFF"/>
        </w:rPr>
      </w:pPr>
      <w:r>
        <w:rPr>
          <w:rFonts w:eastAsia="Arial"/>
          <w:spacing w:val="4"/>
          <w:szCs w:val="28"/>
          <w:shd w:val="clear" w:color="auto" w:fill="FFFFFF"/>
        </w:rPr>
        <w:t>Таблица 2.2</w:t>
      </w:r>
    </w:p>
    <w:tbl>
      <w:tblPr>
        <w:tblW w:w="9936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028"/>
        <w:gridCol w:w="1247"/>
        <w:gridCol w:w="1709"/>
        <w:gridCol w:w="1702"/>
        <w:gridCol w:w="1707"/>
      </w:tblGrid>
      <w:tr w:rsidR="00973D70">
        <w:trPr>
          <w:trHeight w:val="845"/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70" w:rsidRDefault="00046C89">
            <w:pPr>
              <w:pStyle w:val="ae"/>
              <w:widowControl w:val="0"/>
            </w:pPr>
            <w:r>
              <w:t>№</w:t>
            </w:r>
          </w:p>
          <w:p w:rsidR="00973D70" w:rsidRDefault="00046C89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70" w:rsidRDefault="00046C89">
            <w:pPr>
              <w:pStyle w:val="ae"/>
              <w:widowControl w:val="0"/>
            </w:pPr>
            <w:r>
              <w:t>Наименование</w:t>
            </w:r>
          </w:p>
          <w:p w:rsidR="00973D70" w:rsidRDefault="00046C89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70" w:rsidRDefault="00046C89">
            <w:pPr>
              <w:pStyle w:val="ae"/>
              <w:widowControl w:val="0"/>
            </w:pPr>
            <w:r>
              <w:t>Площадь,</w:t>
            </w:r>
          </w:p>
          <w:p w:rsidR="00973D70" w:rsidRDefault="00046C89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70" w:rsidRDefault="00046C89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70" w:rsidRDefault="00046C89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70" w:rsidRDefault="00046C89">
            <w:pPr>
              <w:pStyle w:val="ae"/>
              <w:widowControl w:val="0"/>
              <w:textAlignment w:val="baseline"/>
            </w:pPr>
            <w:r>
              <w:t>Максимальная этажность</w:t>
            </w:r>
          </w:p>
        </w:tc>
      </w:tr>
      <w:tr w:rsidR="00973D70">
        <w:trPr>
          <w:trHeight w:val="34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rPr>
                <w:kern w:val="2"/>
              </w:rPr>
            </w:pPr>
            <w:r>
              <w:rPr>
                <w:kern w:val="2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t>810,9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973D70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73D70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973D70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73D70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973D70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973D70">
        <w:tc>
          <w:tcPr>
            <w:tcW w:w="5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widowControl w:val="0"/>
              <w:spacing w:before="0" w:after="0"/>
              <w:ind w:left="57"/>
              <w:jc w:val="left"/>
            </w:pPr>
            <w:r>
              <w:rPr>
                <w:color w:val="auto"/>
                <w:lang w:eastAsia="ar-SA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5,8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</w:t>
            </w:r>
            <w:r>
              <w:rPr>
                <w:color w:val="auto"/>
                <w:kern w:val="2"/>
              </w:rPr>
              <w:t>а</w:t>
            </w:r>
          </w:p>
        </w:tc>
      </w:tr>
      <w:tr w:rsidR="00973D70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rPr>
                <w:kern w:val="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73D70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rPr>
                <w:kern w:val="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973D70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rPr>
                <w:kern w:val="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973D70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textAlignment w:val="baseline"/>
            </w:pPr>
            <w:r>
              <w:t>0,8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textAlignment w:val="baseline"/>
            </w:pPr>
            <w:r>
              <w:t>2,4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</w:pPr>
            <w: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2,00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textAlignment w:val="baseline"/>
            </w:pPr>
            <w:r>
              <w:t>0,8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textAlignment w:val="baseline"/>
            </w:pPr>
            <w:r>
              <w:t>2,4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</w:pPr>
            <w:r>
              <w:t>-</w:t>
            </w:r>
          </w:p>
        </w:tc>
      </w:tr>
      <w:tr w:rsidR="00973D70">
        <w:trPr>
          <w:trHeight w:val="541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16,84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0,8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4,73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0,6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textAlignment w:val="baseline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2,4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widowControl w:val="0"/>
              <w:suppressLineNumbers/>
              <w:spacing w:before="0" w:after="0"/>
              <w:ind w:left="57" w:right="113"/>
              <w:jc w:val="left"/>
              <w:textAlignment w:val="baseline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5612,26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</w:pPr>
            <w: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textAlignment w:val="baseline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7,37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общего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textAlignment w:val="baseline"/>
            </w:pPr>
            <w:r>
              <w:t xml:space="preserve">пользования (парки, сады, </w:t>
            </w:r>
            <w:r>
              <w:lastRenderedPageBreak/>
              <w:t>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lastRenderedPageBreak/>
              <w:t>47,02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73D70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lastRenderedPageBreak/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textAlignment w:val="baseline"/>
            </w:pPr>
            <w:r>
              <w:t xml:space="preserve">Зона </w:t>
            </w:r>
            <w:r>
              <w:rPr>
                <w:kern w:val="2"/>
              </w:rP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14049,33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73D70">
        <w:trPr>
          <w:trHeight w:val="51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0"/>
              <w:widowControl w:val="0"/>
              <w:suppressLineNumbers/>
              <w:tabs>
                <w:tab w:val="left" w:pos="680"/>
              </w:tabs>
              <w:overflowPunct w:val="0"/>
              <w:ind w:left="57" w:right="57" w:firstLine="0"/>
              <w:jc w:val="left"/>
              <w:textAlignment w:val="baseline"/>
            </w:pPr>
            <w:r>
              <w:rPr>
                <w:kern w:val="2"/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13,27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73D70">
        <w:trPr>
          <w:trHeight w:val="51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3,76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73D70">
        <w:trPr>
          <w:trHeight w:val="454"/>
        </w:trPr>
        <w:tc>
          <w:tcPr>
            <w:tcW w:w="9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6" w:rsidRDefault="00C20EC6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sz w:val="24"/>
              </w:rPr>
            </w:pP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973D70" w:rsidRDefault="00046C89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  <w:p w:rsidR="00C20EC6" w:rsidRDefault="00C20EC6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sz w:val="24"/>
              </w:rPr>
            </w:pPr>
          </w:p>
        </w:tc>
      </w:tr>
    </w:tbl>
    <w:p w:rsidR="00C20EC6" w:rsidRPr="00C20EC6" w:rsidRDefault="00C20EC6">
      <w:pPr>
        <w:numPr>
          <w:ilvl w:val="0"/>
          <w:numId w:val="2"/>
        </w:numPr>
        <w:overflowPunct w:val="0"/>
        <w:spacing w:before="57" w:after="57"/>
        <w:ind w:firstLine="709"/>
        <w:contextualSpacing/>
        <w:jc w:val="both"/>
        <w:textAlignment w:val="baseline"/>
        <w:rPr>
          <w:rStyle w:val="-"/>
          <w:color w:val="000000"/>
          <w:u w:val="none"/>
        </w:rPr>
      </w:pPr>
    </w:p>
    <w:p w:rsidR="00973D70" w:rsidRDefault="00046C89">
      <w:pPr>
        <w:numPr>
          <w:ilvl w:val="0"/>
          <w:numId w:val="2"/>
        </w:numPr>
        <w:overflowPunct w:val="0"/>
        <w:spacing w:before="57" w:after="57"/>
        <w:ind w:firstLine="709"/>
        <w:contextualSpacing/>
        <w:jc w:val="both"/>
        <w:textAlignment w:val="baseline"/>
      </w:pPr>
      <w:r>
        <w:rPr>
          <w:rStyle w:val="-"/>
          <w:bCs/>
          <w:iCs/>
          <w:color w:val="000000"/>
          <w:spacing w:val="4"/>
          <w:kern w:val="2"/>
          <w:sz w:val="28"/>
          <w:szCs w:val="28"/>
          <w:u w:val="none"/>
          <w:shd w:val="clear" w:color="auto" w:fill="FFFFFF"/>
        </w:rPr>
        <w:t xml:space="preserve">Планируемые для размещения в функциональных зонах объекты федерального, регионального и местного значения (за исключением линейных объектов) </w:t>
      </w:r>
      <w:r>
        <w:rPr>
          <w:rStyle w:val="-"/>
          <w:rFonts w:eastAsia="MS Mincho;ＭＳ 明朝"/>
          <w:bCs/>
          <w:iCs/>
          <w:color w:val="000000"/>
          <w:spacing w:val="4"/>
          <w:sz w:val="28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pacing w:val="4"/>
          <w:kern w:val="2"/>
          <w:sz w:val="28"/>
          <w:szCs w:val="28"/>
          <w:u w:val="none"/>
        </w:rPr>
        <w:t xml:space="preserve"> в таблице 2.3.</w:t>
      </w: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C20EC6" w:rsidRPr="00C20EC6" w:rsidRDefault="00C20EC6">
      <w:pPr>
        <w:numPr>
          <w:ilvl w:val="0"/>
          <w:numId w:val="2"/>
        </w:numPr>
        <w:spacing w:before="57" w:after="57"/>
        <w:contextualSpacing/>
        <w:jc w:val="right"/>
        <w:rPr>
          <w:rStyle w:val="-"/>
          <w:color w:val="000000"/>
          <w:u w:val="none"/>
        </w:rPr>
      </w:pPr>
    </w:p>
    <w:p w:rsidR="00973D70" w:rsidRDefault="00046C89">
      <w:pPr>
        <w:numPr>
          <w:ilvl w:val="0"/>
          <w:numId w:val="2"/>
        </w:num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kern w:val="2"/>
          <w:sz w:val="28"/>
          <w:szCs w:val="28"/>
          <w:u w:val="none"/>
          <w:shd w:val="clear" w:color="auto" w:fill="FFFFFF"/>
        </w:rPr>
        <w:lastRenderedPageBreak/>
        <w:t xml:space="preserve">Таблица </w:t>
      </w:r>
      <w:r>
        <w:rPr>
          <w:rStyle w:val="-"/>
          <w:bCs/>
          <w:iCs/>
          <w:color w:val="000000"/>
          <w:spacing w:val="4"/>
          <w:kern w:val="2"/>
          <w:sz w:val="28"/>
          <w:u w:val="none"/>
          <w:shd w:val="clear" w:color="auto" w:fill="FFFFFF"/>
        </w:rPr>
        <w:t>2.3</w:t>
      </w:r>
    </w:p>
    <w:tbl>
      <w:tblPr>
        <w:tblW w:w="993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1481"/>
        <w:gridCol w:w="1595"/>
        <w:gridCol w:w="1705"/>
        <w:gridCol w:w="1467"/>
        <w:gridCol w:w="1470"/>
        <w:gridCol w:w="1657"/>
      </w:tblGrid>
      <w:tr w:rsidR="00973D7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  <w:kern w:val="2"/>
              </w:rPr>
              <w:t>Вид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Назначение  объекта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57"/>
              <w:textAlignment w:val="baseline"/>
            </w:pPr>
            <w:r>
              <w:rPr>
                <w:color w:val="auto"/>
              </w:rPr>
              <w:t>Наименование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57"/>
              <w:textAlignment w:val="baseline"/>
            </w:pPr>
            <w:r>
              <w:rPr>
                <w:color w:val="auto"/>
              </w:rPr>
              <w:t>и основные характерист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ки объ</w:t>
            </w:r>
            <w:r>
              <w:rPr>
                <w:color w:val="auto"/>
                <w:kern w:val="2"/>
              </w:rPr>
              <w:t>екта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Местопол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жение об</w:t>
            </w:r>
            <w:r>
              <w:rPr>
                <w:color w:val="auto"/>
              </w:rPr>
              <w:t>ъ</w:t>
            </w:r>
            <w:r>
              <w:rPr>
                <w:color w:val="auto"/>
              </w:rPr>
              <w:t>екта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-57" w:right="-57"/>
            </w:pPr>
            <w:r>
              <w:rPr>
                <w:color w:val="auto"/>
                <w:kern w:val="2"/>
              </w:rPr>
              <w:t>Функци</w:t>
            </w:r>
            <w:r>
              <w:rPr>
                <w:color w:val="auto"/>
                <w:kern w:val="2"/>
              </w:rPr>
              <w:t>о</w:t>
            </w:r>
            <w:r>
              <w:rPr>
                <w:color w:val="auto"/>
                <w:kern w:val="2"/>
              </w:rPr>
              <w:t>нальная зона (для объектов не являющи</w:t>
            </w:r>
            <w:r>
              <w:rPr>
                <w:color w:val="auto"/>
                <w:kern w:val="2"/>
              </w:rPr>
              <w:t>х</w:t>
            </w:r>
            <w:r>
              <w:rPr>
                <w:color w:val="auto"/>
                <w:kern w:val="2"/>
              </w:rPr>
              <w:t>ся линейн</w:t>
            </w:r>
            <w:r>
              <w:rPr>
                <w:color w:val="auto"/>
                <w:kern w:val="2"/>
              </w:rPr>
              <w:t>ы</w:t>
            </w:r>
            <w:r>
              <w:rPr>
                <w:color w:val="auto"/>
                <w:kern w:val="2"/>
              </w:rPr>
              <w:t>ми)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-28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пользования территории</w:t>
            </w:r>
          </w:p>
        </w:tc>
      </w:tr>
      <w:tr w:rsidR="00973D70">
        <w:tc>
          <w:tcPr>
            <w:tcW w:w="9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Объекты </w:t>
            </w:r>
            <w:r>
              <w:rPr>
                <w:color w:val="auto"/>
                <w:kern w:val="2"/>
              </w:rPr>
              <w:t>местного</w:t>
            </w:r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значения</w:t>
            </w:r>
            <w:proofErr w:type="gramEnd"/>
            <w:r>
              <w:rPr>
                <w:kern w:val="2"/>
              </w:rPr>
              <w:t xml:space="preserve"> </w:t>
            </w:r>
            <w:r>
              <w:t xml:space="preserve">планируемые к </w:t>
            </w:r>
            <w:r>
              <w:rPr>
                <w:lang w:eastAsia="en-US"/>
              </w:rPr>
              <w:t>размещению</w:t>
            </w:r>
          </w:p>
        </w:tc>
      </w:tr>
      <w:tr w:rsidR="00973D70">
        <w:trPr>
          <w:trHeight w:val="253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Водозабор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(Код объекта 602041101)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Обеспечение населения питьевой водой нормативного качества и</w:t>
            </w:r>
            <w:r>
              <w:rPr>
                <w:lang w:eastAsia="en-US"/>
              </w:rPr>
              <w:br/>
              <w:t>в требуемом количестве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widowControl w:val="0"/>
              <w:numPr>
                <w:ilvl w:val="0"/>
                <w:numId w:val="2"/>
              </w:numPr>
              <w:suppressLineNumbers/>
              <w:suppressAutoHyphens w:val="0"/>
              <w:spacing w:before="0" w:after="0"/>
              <w:textAlignment w:val="baseline"/>
              <w:rPr>
                <w:kern w:val="2"/>
              </w:rPr>
            </w:pPr>
            <w:r>
              <w:rPr>
                <w:kern w:val="2"/>
              </w:rPr>
              <w:t>Определяются</w:t>
            </w:r>
          </w:p>
          <w:p w:rsidR="00973D70" w:rsidRDefault="00046C89">
            <w:pPr>
              <w:widowControl w:val="0"/>
              <w:numPr>
                <w:ilvl w:val="0"/>
                <w:numId w:val="2"/>
              </w:numPr>
              <w:suppressLineNumbers/>
              <w:suppressAutoHyphens w:val="0"/>
              <w:spacing w:before="0" w:after="0"/>
              <w:textAlignment w:val="baseline"/>
              <w:rPr>
                <w:kern w:val="2"/>
              </w:rPr>
            </w:pPr>
            <w:r>
              <w:rPr>
                <w:kern w:val="2"/>
              </w:rPr>
              <w:t>на последу</w:t>
            </w:r>
            <w:r>
              <w:rPr>
                <w:kern w:val="2"/>
              </w:rPr>
              <w:t>ю</w:t>
            </w:r>
            <w:r>
              <w:rPr>
                <w:kern w:val="2"/>
              </w:rPr>
              <w:t>щих стадиях проектиров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overflowPunct w:val="0"/>
              <w:ind w:left="-57"/>
              <w:textAlignment w:val="baseline"/>
            </w:pPr>
            <w:proofErr w:type="spellStart"/>
            <w:r>
              <w:rPr>
                <w:rStyle w:val="20"/>
                <w:rFonts w:eastAsia="Calibri" w:cs="Calibri"/>
              </w:rPr>
              <w:t>Касимовский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</w:t>
            </w:r>
            <w:r>
              <w:rPr>
                <w:rStyle w:val="20"/>
                <w:rFonts w:eastAsia="Calibri" w:cs="Calibri"/>
              </w:rPr>
              <w:t>ь</w:t>
            </w:r>
            <w:r>
              <w:rPr>
                <w:rStyle w:val="20"/>
                <w:rFonts w:eastAsia="Calibri" w:cs="Calibri"/>
              </w:rPr>
              <w:t xml:space="preserve">ный </w:t>
            </w:r>
            <w:r>
              <w:rPr>
                <w:rStyle w:val="20"/>
                <w:kern w:val="2"/>
              </w:rPr>
              <w:t>округ,</w:t>
            </w:r>
          </w:p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ind w:left="-28"/>
              <w:textAlignment w:val="baseline"/>
              <w:rPr>
                <w:kern w:val="2"/>
              </w:rPr>
            </w:pPr>
            <w:r>
              <w:rPr>
                <w:rStyle w:val="20"/>
                <w:kern w:val="2"/>
              </w:rPr>
              <w:t>с. Погост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Жилые зоны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0" w:rsidRDefault="00046C89">
            <w:pPr>
              <w:pStyle w:val="ae"/>
              <w:widowControl w:val="0"/>
              <w:numPr>
                <w:ilvl w:val="0"/>
                <w:numId w:val="2"/>
              </w:numPr>
              <w:ind w:left="-57" w:right="-57"/>
              <w:textAlignment w:val="baseline"/>
              <w:rPr>
                <w:color w:val="00A933"/>
              </w:rPr>
            </w:pPr>
            <w:r>
              <w:rPr>
                <w:rStyle w:val="20"/>
                <w:kern w:val="2"/>
              </w:rPr>
              <w:t>Зоны санитарной охраны источников питьевого</w:t>
            </w:r>
            <w:r>
              <w:rPr>
                <w:rStyle w:val="20"/>
                <w:kern w:val="2"/>
              </w:rPr>
              <w:br/>
              <w:t>и хозяйственно-бытового водоснабжения</w:t>
            </w:r>
          </w:p>
        </w:tc>
      </w:tr>
    </w:tbl>
    <w:p w:rsidR="00972FAE" w:rsidRPr="00972FAE" w:rsidRDefault="00972FAE">
      <w:pPr>
        <w:numPr>
          <w:ilvl w:val="0"/>
          <w:numId w:val="2"/>
        </w:numPr>
        <w:suppressLineNumbers/>
        <w:overflowPunct w:val="0"/>
        <w:spacing w:before="57" w:after="0"/>
        <w:ind w:firstLine="709"/>
        <w:contextualSpacing/>
        <w:jc w:val="both"/>
        <w:textAlignment w:val="baseline"/>
        <w:rPr>
          <w:rStyle w:val="-"/>
          <w:color w:val="000000"/>
          <w:u w:val="none"/>
        </w:rPr>
      </w:pPr>
    </w:p>
    <w:p w:rsidR="00973D70" w:rsidRDefault="00046C89">
      <w:pPr>
        <w:numPr>
          <w:ilvl w:val="0"/>
          <w:numId w:val="2"/>
        </w:numPr>
        <w:suppressLineNumbers/>
        <w:overflowPunct w:val="0"/>
        <w:spacing w:before="57" w:after="0"/>
        <w:ind w:firstLine="709"/>
        <w:contextualSpacing/>
        <w:jc w:val="both"/>
        <w:textAlignment w:val="baseline"/>
      </w:pPr>
      <w:r>
        <w:rPr>
          <w:rStyle w:val="-"/>
          <w:bCs/>
          <w:iCs/>
          <w:color w:val="000000"/>
          <w:spacing w:val="4"/>
          <w:kern w:val="2"/>
          <w:sz w:val="28"/>
          <w:szCs w:val="28"/>
          <w:u w:val="none"/>
          <w:shd w:val="clear" w:color="auto" w:fill="FFFFFF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отображены на карте функциональных зон.</w:t>
      </w:r>
    </w:p>
    <w:p w:rsidR="00973D70" w:rsidRDefault="00973D70">
      <w:pPr>
        <w:pStyle w:val="a0"/>
        <w:numPr>
          <w:ilvl w:val="0"/>
          <w:numId w:val="2"/>
        </w:numPr>
        <w:ind w:firstLine="709"/>
      </w:pPr>
    </w:p>
    <w:sectPr w:rsidR="00973D7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84" w:rsidRDefault="00115084">
      <w:pPr>
        <w:spacing w:before="0" w:after="0"/>
      </w:pPr>
      <w:r>
        <w:separator/>
      </w:r>
    </w:p>
  </w:endnote>
  <w:endnote w:type="continuationSeparator" w:id="0">
    <w:p w:rsidR="00115084" w:rsidRDefault="001150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973D7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973D7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973D70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973D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84" w:rsidRDefault="00115084">
      <w:pPr>
        <w:spacing w:before="0" w:after="0"/>
      </w:pPr>
      <w:r>
        <w:separator/>
      </w:r>
    </w:p>
  </w:footnote>
  <w:footnote w:type="continuationSeparator" w:id="0">
    <w:p w:rsidR="00115084" w:rsidRDefault="001150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973D7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973D7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046C89">
    <w:pPr>
      <w:pStyle w:val="af1"/>
    </w:pPr>
    <w:r>
      <w:fldChar w:fldCharType="begin"/>
    </w:r>
    <w:r>
      <w:instrText>PAGE</w:instrText>
    </w:r>
    <w:r>
      <w:fldChar w:fldCharType="separate"/>
    </w:r>
    <w:r w:rsidR="00AF2367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0" w:rsidRDefault="00046C89">
    <w:pPr>
      <w:pStyle w:val="af1"/>
    </w:pPr>
    <w:r>
      <w:fldChar w:fldCharType="begin"/>
    </w:r>
    <w:r>
      <w:instrText>PAGE</w:instrText>
    </w:r>
    <w:r>
      <w:fldChar w:fldCharType="separate"/>
    </w:r>
    <w:r w:rsidR="00AF236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569E"/>
    <w:multiLevelType w:val="multilevel"/>
    <w:tmpl w:val="532E73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054365"/>
    <w:multiLevelType w:val="multilevel"/>
    <w:tmpl w:val="825ED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Cs/>
        <w:color w:val="000000"/>
        <w:spacing w:val="5"/>
        <w:kern w:val="0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896CA0"/>
    <w:multiLevelType w:val="multilevel"/>
    <w:tmpl w:val="20280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bCs/>
        <w:iCs/>
        <w:color w:val="000000"/>
        <w:kern w:val="2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D70"/>
    <w:rsid w:val="00046C89"/>
    <w:rsid w:val="00115084"/>
    <w:rsid w:val="006F31C3"/>
    <w:rsid w:val="00972FAE"/>
    <w:rsid w:val="00973D70"/>
    <w:rsid w:val="00A93D82"/>
    <w:rsid w:val="00AF2367"/>
    <w:rsid w:val="00C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/>
      <w:bCs/>
      <w:iCs/>
      <w:color w:val="000000"/>
      <w:spacing w:val="5"/>
      <w:kern w:val="0"/>
      <w:sz w:val="28"/>
      <w:szCs w:val="28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XO Thames;Times New Roman" w:cs="Times New Roman"/>
      <w:bCs/>
      <w:iCs/>
      <w:color w:val="000000"/>
      <w:kern w:val="2"/>
      <w:sz w:val="28"/>
      <w:szCs w:val="28"/>
      <w:lang w:val="ru-RU" w:eastAsia="ar-SA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0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next w:val="a0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rFonts w:ascii="Liberation Serif;Times New Roma" w:hAnsi="Liberation Serif;Times New Roma" w:cs="Mangal"/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rFonts w:ascii="Liberation Serif;Times New Roma" w:hAnsi="Liberation Serif;Times New Roma" w:cs="Mangal"/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 w:cs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/>
      <w:bCs/>
      <w:iCs/>
      <w:color w:val="000000"/>
      <w:spacing w:val="5"/>
      <w:kern w:val="0"/>
      <w:sz w:val="28"/>
      <w:szCs w:val="28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XO Thames;Times New Roman" w:cs="Times New Roman"/>
      <w:bCs/>
      <w:iCs/>
      <w:color w:val="000000"/>
      <w:kern w:val="2"/>
      <w:sz w:val="28"/>
      <w:szCs w:val="28"/>
      <w:lang w:val="ru-RU" w:eastAsia="ar-SA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0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next w:val="a0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rFonts w:ascii="Liberation Serif;Times New Roma" w:hAnsi="Liberation Serif;Times New Roma" w:cs="Mangal"/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rFonts w:ascii="Liberation Serif;Times New Roma" w:hAnsi="Liberation Serif;Times New Roma" w:cs="Mangal"/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 w:cs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203</cp:revision>
  <cp:lastPrinted>2025-05-20T13:47:00Z</cp:lastPrinted>
  <dcterms:created xsi:type="dcterms:W3CDTF">2024-06-04T12:22:00Z</dcterms:created>
  <dcterms:modified xsi:type="dcterms:W3CDTF">2025-05-20T13:47:00Z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