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257C" w:rsidRDefault="006C57B3">
      <w:pPr>
        <w:keepNext/>
        <w:spacing w:before="0" w:after="0"/>
        <w:ind w:left="5670"/>
        <w:jc w:val="left"/>
      </w:pPr>
      <w:r>
        <w:t xml:space="preserve">Утвержден </w:t>
      </w:r>
    </w:p>
    <w:p w:rsidR="0057257C" w:rsidRDefault="006C57B3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57257C" w:rsidRDefault="006C57B3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57257C" w:rsidRDefault="006C57B3">
      <w:pPr>
        <w:keepNext/>
        <w:spacing w:before="0" w:after="0"/>
        <w:ind w:left="5670"/>
        <w:jc w:val="left"/>
      </w:pPr>
      <w:r>
        <w:t>Рязанской области</w:t>
      </w:r>
    </w:p>
    <w:p w:rsidR="0057257C" w:rsidRDefault="00423878">
      <w:pPr>
        <w:keepNext/>
        <w:tabs>
          <w:tab w:val="left" w:pos="5100"/>
        </w:tabs>
        <w:spacing w:before="0" w:after="0"/>
        <w:ind w:left="5670"/>
        <w:jc w:val="left"/>
      </w:pPr>
      <w:r>
        <w:t>от 05 мая 2025 г.</w:t>
      </w:r>
      <w:r w:rsidR="006C57B3">
        <w:t xml:space="preserve"> №</w:t>
      </w:r>
      <w:bookmarkStart w:id="0" w:name="_GoBack"/>
      <w:bookmarkEnd w:id="0"/>
      <w:r>
        <w:t xml:space="preserve"> 325-п</w:t>
      </w:r>
    </w:p>
    <w:p w:rsidR="0057257C" w:rsidRDefault="0057257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57257C" w:rsidRDefault="0057257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57257C" w:rsidRDefault="0057257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57257C" w:rsidRDefault="0057257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57257C" w:rsidRDefault="0057257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57257C" w:rsidRDefault="0057257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57257C" w:rsidRDefault="0057257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57257C" w:rsidRDefault="0057257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57257C" w:rsidRDefault="0057257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57257C" w:rsidRDefault="0057257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57257C" w:rsidRDefault="0057257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57257C" w:rsidRDefault="0057257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57257C" w:rsidRDefault="006C57B3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57257C" w:rsidRDefault="006C57B3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color w:val="auto"/>
          <w:sz w:val="32"/>
          <w:szCs w:val="32"/>
        </w:rPr>
        <w:t xml:space="preserve">муниципального образования – </w:t>
      </w:r>
      <w:proofErr w:type="spellStart"/>
      <w:r>
        <w:rPr>
          <w:rFonts w:eastAsia="Calibri" w:cs="Calibri"/>
          <w:color w:val="auto"/>
          <w:kern w:val="0"/>
          <w:sz w:val="32"/>
          <w:szCs w:val="32"/>
        </w:rPr>
        <w:t>Березниковское</w:t>
      </w:r>
      <w:proofErr w:type="spellEnd"/>
      <w:r>
        <w:rPr>
          <w:color w:val="auto"/>
          <w:sz w:val="32"/>
          <w:szCs w:val="32"/>
        </w:rPr>
        <w:t xml:space="preserve"> сельское поселение</w:t>
      </w:r>
      <w:r>
        <w:rPr>
          <w:color w:val="auto"/>
          <w:sz w:val="32"/>
          <w:szCs w:val="32"/>
        </w:rPr>
        <w:br/>
      </w:r>
      <w:proofErr w:type="spellStart"/>
      <w:r>
        <w:rPr>
          <w:rFonts w:eastAsia="Calibri" w:cs="Calibri"/>
          <w:color w:val="auto"/>
          <w:kern w:val="0"/>
          <w:sz w:val="32"/>
          <w:szCs w:val="32"/>
        </w:rPr>
        <w:t>Сапожковского</w:t>
      </w:r>
      <w:proofErr w:type="spellEnd"/>
      <w:r>
        <w:rPr>
          <w:color w:val="auto"/>
          <w:sz w:val="32"/>
          <w:szCs w:val="32"/>
        </w:rPr>
        <w:t xml:space="preserve"> муниципального района Рязанской области  </w:t>
      </w:r>
      <w:r>
        <w:rPr>
          <w:sz w:val="32"/>
          <w:szCs w:val="32"/>
        </w:rPr>
        <w:t xml:space="preserve"> </w:t>
      </w:r>
    </w:p>
    <w:p w:rsidR="0057257C" w:rsidRDefault="006C57B3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57257C" w:rsidRDefault="0057257C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57257C" w:rsidRDefault="006C57B3">
      <w:pPr>
        <w:pStyle w:val="a8"/>
        <w:spacing w:after="6"/>
        <w:ind w:firstLine="0"/>
        <w:jc w:val="center"/>
        <w:rPr>
          <w:sz w:val="32"/>
          <w:szCs w:val="32"/>
        </w:rPr>
        <w:sectPr w:rsidR="0057257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57257C" w:rsidRDefault="006C57B3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57257C" w:rsidRDefault="0057257C">
      <w:pPr>
        <w:pStyle w:val="a8"/>
        <w:rPr>
          <w:color w:val="auto"/>
          <w:sz w:val="24"/>
        </w:rPr>
      </w:pPr>
    </w:p>
    <w:p w:rsidR="0057257C" w:rsidRDefault="006C57B3">
      <w:pPr>
        <w:pStyle w:val="a8"/>
      </w:pPr>
      <w:r>
        <w:rPr>
          <w:iCs/>
          <w:szCs w:val="28"/>
          <w:shd w:val="clear" w:color="auto" w:fill="FFFFFF"/>
          <w:lang w:eastAsia="ar-SA"/>
        </w:rPr>
        <w:t xml:space="preserve">На </w:t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Березниковское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сельское поселение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Сапожковского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муниципального района Рязанской области генеральным планом не планируется размещение объектов местного значения</w:t>
      </w:r>
      <w:r>
        <w:rPr>
          <w:iCs/>
          <w:szCs w:val="28"/>
          <w:shd w:val="clear" w:color="auto" w:fill="FFFFFF"/>
        </w:rPr>
        <w:t>.</w:t>
      </w:r>
    </w:p>
    <w:p w:rsidR="0057257C" w:rsidRDefault="0057257C">
      <w:pPr>
        <w:pStyle w:val="a8"/>
        <w:rPr>
          <w:color w:val="auto"/>
          <w:sz w:val="24"/>
        </w:rPr>
      </w:pPr>
    </w:p>
    <w:p w:rsidR="0057257C" w:rsidRDefault="006C57B3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57257C" w:rsidRDefault="0057257C">
      <w:pPr>
        <w:pStyle w:val="a8"/>
        <w:numPr>
          <w:ilvl w:val="0"/>
          <w:numId w:val="1"/>
        </w:numPr>
        <w:ind w:firstLine="680"/>
        <w:rPr>
          <w:color w:val="auto"/>
          <w:szCs w:val="28"/>
        </w:rPr>
      </w:pPr>
    </w:p>
    <w:p w:rsidR="0057257C" w:rsidRDefault="006C57B3">
      <w:pPr>
        <w:pStyle w:val="a8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–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Березниковское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сельское поселение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Сапожковского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муниципального района Рязанской области</w:t>
      </w:r>
      <w:r>
        <w:rPr>
          <w:szCs w:val="28"/>
        </w:rPr>
        <w:t xml:space="preserve"> учитывалось:</w:t>
      </w:r>
    </w:p>
    <w:p w:rsidR="0057257C" w:rsidRDefault="006C57B3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сложившееся использование земельных участков;</w:t>
      </w:r>
    </w:p>
    <w:p w:rsidR="0057257C" w:rsidRDefault="006C57B3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рациональные формы расселения населения;</w:t>
      </w:r>
    </w:p>
    <w:p w:rsidR="0057257C" w:rsidRDefault="006C57B3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57257C" w:rsidRDefault="006C57B3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57257C" w:rsidRDefault="006C57B3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57257C" w:rsidRDefault="006C57B3">
      <w:pPr>
        <w:pStyle w:val="a8"/>
        <w:numPr>
          <w:ilvl w:val="0"/>
          <w:numId w:val="1"/>
        </w:numPr>
        <w:ind w:firstLine="709"/>
        <w:contextualSpacing/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–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Березниковское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сельское поселение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Сапожковского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муниципального района Рязанской области</w:t>
      </w:r>
      <w:r>
        <w:rPr>
          <w:rStyle w:val="20"/>
          <w:iCs/>
          <w:spacing w:val="5"/>
          <w:szCs w:val="28"/>
        </w:rPr>
        <w:t xml:space="preserve"> установлены функциональные зоны, представленные в таблице 2.1.</w:t>
      </w:r>
    </w:p>
    <w:p w:rsidR="0057257C" w:rsidRDefault="006C57B3">
      <w:pPr>
        <w:pStyle w:val="a8"/>
        <w:jc w:val="right"/>
      </w:pPr>
      <w:r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3"/>
        <w:gridCol w:w="2552"/>
        <w:gridCol w:w="4819"/>
      </w:tblGrid>
      <w:tr w:rsidR="0057257C">
        <w:trPr>
          <w:trHeight w:val="454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№</w:t>
            </w:r>
          </w:p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Назначение</w:t>
            </w:r>
          </w:p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57257C">
        <w:trPr>
          <w:trHeight w:val="568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57257C" w:rsidRDefault="0057257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57257C" w:rsidRDefault="0057257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7257C" w:rsidRDefault="0057257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7257C" w:rsidRDefault="0057257C">
            <w:pPr>
              <w:widowControl w:val="0"/>
              <w:rPr>
                <w:sz w:val="32"/>
                <w:szCs w:val="32"/>
              </w:rPr>
            </w:pPr>
          </w:p>
        </w:tc>
      </w:tr>
      <w:tr w:rsidR="0057257C" w:rsidTr="005C1AC1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6EDF2281" wp14:editId="013B924C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9465" cy="403225"/>
                      <wp:effectExtent l="5080" t="5080" r="5080" b="508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840" cy="40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2.85pt;height:31.65pt;mso-wrap-style:none;v-text-anchor:middle">
                      <v:fill o:detectmouseclick="t" type="solid" color2="#009ba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  <w:rPr>
                <w:sz w:val="24"/>
              </w:rPr>
            </w:pPr>
            <w:r>
              <w:rPr>
                <w:rFonts w:eastAsia="XO Thames;Times New Roman"/>
                <w:kern w:val="0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 xml:space="preserve">а также отдельно стоящих, встроенных или пристроенных объектов социального, коммунального, общественного назначения, </w:t>
            </w:r>
            <w:r>
              <w:rPr>
                <w:rFonts w:eastAsia="XO Thames;Times New Roman"/>
                <w:sz w:val="24"/>
                <w:lang w:eastAsia="ar-SA"/>
              </w:rPr>
              <w:lastRenderedPageBreak/>
              <w:t>обеспечивающих потребности жителей.</w:t>
            </w:r>
          </w:p>
        </w:tc>
      </w:tr>
      <w:tr w:rsidR="0057257C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9465" cy="403225"/>
                      <wp:effectExtent l="5080" t="5080" r="5080" b="508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840" cy="40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ca7af5" stroked="t" style="position:absolute;margin-left:18.45pt;margin-top:3.95pt;width:62.85pt;height:31.65pt;mso-wrap-style:none;v-text-anchor:middle">
                      <v:fill o:detectmouseclick="t" type="solid" color2="#35850a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специализированной общественной застройки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57257C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9465" cy="403225"/>
                      <wp:effectExtent l="5080" t="5080" r="5080" b="5080"/>
                      <wp:wrapNone/>
                      <wp:docPr id="3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840" cy="40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636382" stroked="t" style="position:absolute;margin-left:18.45pt;margin-top:3.95pt;width:62.85pt;height:31.65pt;mso-wrap-style:none;v-text-anchor:middle">
                      <v:fill o:detectmouseclick="t" type="solid" color2="#9c9c7d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</w:t>
            </w:r>
            <w:r>
              <w:rPr>
                <w:rStyle w:val="20"/>
                <w:lang w:eastAsia="ar-SA"/>
              </w:rP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57257C">
        <w:trPr>
          <w:trHeight w:val="139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9465" cy="403225"/>
                      <wp:effectExtent l="5080" t="5080" r="5080" b="5080"/>
                      <wp:wrapNone/>
                      <wp:docPr id="4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840" cy="40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" fillcolor="#ffffb6" stroked="t" style="position:absolute;margin-left:18.45pt;margin-top:3.95pt;width:62.85pt;height:31.65pt;mso-wrap-style:none;v-text-anchor:middle">
                      <v:fill o:detectmouseclick="t" type="solid" color2="#00004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Зоны сельскохозяйственного использования предназначены для ведения сельского хозяйства, с возможностью </w:t>
            </w:r>
            <w:r>
              <w:rPr>
                <w:lang w:eastAsia="ar-SA"/>
              </w:rPr>
              <w:t>размещения зданий и сооружений сельскохозяйственного назначения</w:t>
            </w:r>
            <w:r>
              <w:rPr>
                <w:color w:val="auto"/>
              </w:rPr>
              <w:t>.</w:t>
            </w:r>
          </w:p>
        </w:tc>
      </w:tr>
      <w:tr w:rsidR="0057257C">
        <w:trPr>
          <w:trHeight w:val="11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9465" cy="403225"/>
                      <wp:effectExtent l="5080" t="5080" r="5080" b="5080"/>
                      <wp:wrapNone/>
                      <wp:docPr id="5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840" cy="40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6" fillcolor="#cdaa66" stroked="t" style="position:absolute;margin-left:18.45pt;margin-top:3.95pt;width:62.85pt;height:31.65pt;mso-wrap-style:none;v-text-anchor:middle">
                      <v:fill o:detectmouseclick="t" type="solid" color2="#3255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Иные зоны сельскохозяйственного назначения предназначены для сельскохозяйственного использования</w:t>
            </w:r>
          </w:p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в границах населенных пунктов</w:t>
            </w:r>
            <w:r>
              <w:rPr>
                <w:rFonts w:eastAsia="Calibri" w:cs="Calibri"/>
                <w:kern w:val="0"/>
              </w:rPr>
              <w:t>.</w:t>
            </w:r>
          </w:p>
        </w:tc>
      </w:tr>
      <w:tr w:rsidR="0057257C">
        <w:trPr>
          <w:trHeight w:val="11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9465" cy="403225"/>
                      <wp:effectExtent l="5080" t="5080" r="5080" b="5080"/>
                      <wp:wrapNone/>
                      <wp:docPr id="6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840" cy="40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A7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5" fillcolor="#f57a7a" stroked="t" style="position:absolute;margin-left:18.45pt;margin-top:3.95pt;width:62.85pt;height:31.65pt;mso-wrap-style:none;v-text-anchor:middle">
                      <v:fill o:detectmouseclick="t" type="solid" color2="#0a8585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отдыха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7257C" w:rsidRDefault="006C57B3">
            <w:pPr>
              <w:widowControl w:val="0"/>
              <w:numPr>
                <w:ilvl w:val="0"/>
                <w:numId w:val="2"/>
              </w:numPr>
              <w:suppressLineNumbers/>
              <w:spacing w:before="0" w:after="0"/>
              <w:ind w:left="57" w:right="57"/>
              <w:contextualSpacing/>
              <w:jc w:val="left"/>
            </w:pPr>
            <w:r>
              <w:rPr>
                <w:lang w:eastAsia="ru-RU"/>
              </w:rPr>
              <w:t>Зона отдыха предназначена для размещения спортивных баз, лагерей, пансионатов, гостиниц, кемпингов, домов отдыха, не оказывающих услуги по лечению</w:t>
            </w:r>
          </w:p>
        </w:tc>
      </w:tr>
      <w:tr w:rsidR="0057257C">
        <w:trPr>
          <w:trHeight w:val="992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9465" cy="403225"/>
                      <wp:effectExtent l="5080" t="5080" r="5080" b="5080"/>
                      <wp:wrapNone/>
                      <wp:docPr id="7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840" cy="40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1c8f69" stroked="t" style="position:absolute;margin-left:18.45pt;margin-top:3.95pt;width:62.85pt;height:31.65pt;mso-wrap-style:none;v-text-anchor:middle">
                      <v:fill o:detectmouseclick="t" type="solid" color2="#e37096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57257C">
        <w:trPr>
          <w:trHeight w:val="112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9465" cy="403225"/>
                      <wp:effectExtent l="5080" t="5080" r="5080" b="5080"/>
                      <wp:wrapNone/>
                      <wp:docPr id="8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840" cy="40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4" fillcolor="#69b366" stroked="t" style="position:absolute;margin-left:18.45pt;margin-top:3.95pt;width:62.85pt;height:31.65pt;mso-wrap-style:none;v-text-anchor:middle">
                      <v:fill o:detectmouseclick="t" type="solid" color2="#964c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57257C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9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 предназначена для размещения кладбищ,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57257C" w:rsidRDefault="006C57B3">
      <w:pPr>
        <w:pStyle w:val="a8"/>
        <w:numPr>
          <w:ilvl w:val="0"/>
          <w:numId w:val="1"/>
        </w:numPr>
        <w:ind w:firstLine="709"/>
      </w:pPr>
      <w:r>
        <w:rPr>
          <w:color w:val="auto"/>
          <w:szCs w:val="28"/>
        </w:rPr>
        <w:t>Функциональн</w:t>
      </w:r>
      <w:r>
        <w:rPr>
          <w:color w:val="auto"/>
        </w:rPr>
        <w:t>ое</w:t>
      </w:r>
      <w:r>
        <w:rPr>
          <w:color w:val="auto"/>
          <w:szCs w:val="28"/>
        </w:rPr>
        <w:t xml:space="preserve"> зон</w:t>
      </w:r>
      <w:r>
        <w:rPr>
          <w:color w:val="auto"/>
        </w:rPr>
        <w:t>ирование</w:t>
      </w:r>
      <w:r>
        <w:rPr>
          <w:color w:val="auto"/>
          <w:szCs w:val="28"/>
        </w:rPr>
        <w:t xml:space="preserve"> </w:t>
      </w:r>
      <w:r>
        <w:rPr>
          <w:rStyle w:val="-"/>
          <w:rFonts w:eastAsia="MS Mincho;ＭＳ 明朝"/>
          <w:bCs/>
          <w:color w:val="auto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auto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auto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auto"/>
          <w:spacing w:val="5"/>
          <w:kern w:val="0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Березниковское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сельское поселение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Сапожковского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муниципального района Рязанской области</w:t>
      </w:r>
      <w:r>
        <w:rPr>
          <w:rStyle w:val="-"/>
          <w:bCs/>
          <w:iCs/>
          <w:color w:val="auto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auto"/>
          <w:u w:val="none"/>
        </w:rPr>
        <w:t>отображено на карте функциональных зон.</w:t>
      </w:r>
    </w:p>
    <w:p w:rsidR="0057257C" w:rsidRDefault="006C57B3">
      <w:pPr>
        <w:pStyle w:val="a8"/>
        <w:numPr>
          <w:ilvl w:val="0"/>
          <w:numId w:val="1"/>
        </w:numPr>
        <w:ind w:firstLine="709"/>
      </w:pPr>
      <w:r>
        <w:rPr>
          <w:rStyle w:val="-"/>
          <w:bCs/>
          <w:iCs/>
          <w:color w:val="000000"/>
          <w:szCs w:val="28"/>
          <w:u w:val="none"/>
          <w:shd w:val="clear" w:color="auto" w:fill="FFFFFF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Березниковское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сельское поселение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Сапожковского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муниципального района Рязанской области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  <w:shd w:val="clear" w:color="auto" w:fill="FFFFFF"/>
        </w:rPr>
        <w:t xml:space="preserve"> в таблице 2.2.</w:t>
      </w:r>
    </w:p>
    <w:p w:rsidR="0057257C" w:rsidRDefault="0057257C">
      <w:pPr>
        <w:pStyle w:val="a8"/>
        <w:rPr>
          <w:bCs/>
          <w:iCs/>
          <w:color w:val="auto"/>
          <w:szCs w:val="28"/>
          <w:shd w:val="clear" w:color="auto" w:fill="FFFFFF"/>
        </w:rPr>
      </w:pPr>
    </w:p>
    <w:p w:rsidR="0057257C" w:rsidRDefault="006C57B3">
      <w:pPr>
        <w:pStyle w:val="a8"/>
        <w:jc w:val="right"/>
      </w:pPr>
      <w:r>
        <w:lastRenderedPageBreak/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3028"/>
        <w:gridCol w:w="1247"/>
        <w:gridCol w:w="1709"/>
        <w:gridCol w:w="1693"/>
        <w:gridCol w:w="1706"/>
      </w:tblGrid>
      <w:tr w:rsidR="0057257C" w:rsidTr="000C6A9B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257C" w:rsidRDefault="006C57B3">
            <w:pPr>
              <w:pStyle w:val="af"/>
              <w:widowControl w:val="0"/>
            </w:pPr>
            <w:r>
              <w:t>№</w:t>
            </w:r>
          </w:p>
          <w:p w:rsidR="0057257C" w:rsidRDefault="006C57B3">
            <w:pPr>
              <w:pStyle w:val="af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257C" w:rsidRDefault="006C57B3">
            <w:pPr>
              <w:pStyle w:val="af"/>
              <w:widowControl w:val="0"/>
            </w:pPr>
            <w:r>
              <w:t>Наименование</w:t>
            </w:r>
          </w:p>
          <w:p w:rsidR="0057257C" w:rsidRDefault="006C57B3">
            <w:pPr>
              <w:pStyle w:val="af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257C" w:rsidRDefault="006C57B3">
            <w:pPr>
              <w:pStyle w:val="af"/>
              <w:widowControl w:val="0"/>
            </w:pPr>
            <w:r>
              <w:t>Площадь,</w:t>
            </w:r>
          </w:p>
          <w:p w:rsidR="0057257C" w:rsidRDefault="006C57B3">
            <w:pPr>
              <w:pStyle w:val="af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257C" w:rsidRDefault="006C57B3">
            <w:pPr>
              <w:pStyle w:val="af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257C" w:rsidRDefault="006C57B3">
            <w:pPr>
              <w:pStyle w:val="af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57C" w:rsidRDefault="006C57B3">
            <w:pPr>
              <w:pStyle w:val="af"/>
              <w:widowControl w:val="0"/>
            </w:pPr>
            <w:r>
              <w:t>Максимальная этажность</w:t>
            </w:r>
          </w:p>
        </w:tc>
      </w:tr>
      <w:tr w:rsidR="0057257C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</w:pPr>
            <w:r>
              <w:t>594,05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7C" w:rsidRDefault="006C57B3">
            <w:pPr>
              <w:pStyle w:val="af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57257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7C" w:rsidRDefault="0057257C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7C" w:rsidRDefault="0057257C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7C" w:rsidRDefault="0057257C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57257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7C" w:rsidRDefault="0057257C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7C" w:rsidRDefault="0057257C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7C" w:rsidRDefault="0057257C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7C" w:rsidRDefault="006C57B3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57257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7C" w:rsidRDefault="0057257C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7C" w:rsidRDefault="0057257C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7C" w:rsidRDefault="0057257C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57257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7C" w:rsidRDefault="0057257C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7C" w:rsidRDefault="0057257C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7C" w:rsidRDefault="0057257C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7C" w:rsidRDefault="006C57B3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57257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7C" w:rsidRDefault="0057257C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7C" w:rsidRDefault="0057257C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57C" w:rsidRDefault="0057257C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57257C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</w:pPr>
            <w:r>
              <w:t>0,66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7257C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</w:pPr>
            <w:r>
              <w:t>0,27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7257C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</w:pPr>
            <w:r>
              <w:t>10549,21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7257C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</w:pPr>
            <w:r>
              <w:t>1,23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7257C">
        <w:trPr>
          <w:trHeight w:val="54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отдыха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</w:pPr>
            <w:r>
              <w:t>6,96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7257C">
        <w:trPr>
          <w:trHeight w:val="5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</w:pPr>
            <w:r>
              <w:t>1029,56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7257C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</w:pPr>
            <w:r>
              <w:t>0,62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7257C">
        <w:trPr>
          <w:trHeight w:val="569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</w:pPr>
            <w:r>
              <w:t>2,54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7C" w:rsidRDefault="006C57B3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7257C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7C" w:rsidRDefault="006C57B3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kern w:val="0"/>
                <w:sz w:val="23"/>
                <w:szCs w:val="23"/>
              </w:rPr>
            </w:pPr>
            <w:r>
              <w:rPr>
                <w:rFonts w:eastAsia="Calibri" w:cs="Calibri"/>
                <w:kern w:val="0"/>
                <w:sz w:val="23"/>
                <w:szCs w:val="23"/>
              </w:rPr>
              <w:t>Примечания:</w:t>
            </w:r>
          </w:p>
          <w:p w:rsidR="0057257C" w:rsidRDefault="006C57B3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57257C" w:rsidRDefault="006C57B3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57257C" w:rsidRDefault="006C57B3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3"/>
                <w:szCs w:val="23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3"/>
                <w:szCs w:val="23"/>
              </w:rPr>
              <w:t>объекта капитального строительства</w:t>
            </w:r>
            <w:r>
              <w:rPr>
                <w:sz w:val="23"/>
                <w:szCs w:val="23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57257C" w:rsidRDefault="006C57B3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57257C" w:rsidRDefault="006C57B3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3"/>
                <w:szCs w:val="23"/>
              </w:rPr>
            </w:pPr>
            <w:r>
              <w:rPr>
                <w:rFonts w:eastAsia="Calibri" w:cs="Calibri"/>
                <w:kern w:val="0"/>
                <w:sz w:val="23"/>
                <w:szCs w:val="23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57257C" w:rsidRDefault="006C57B3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3"/>
                <w:szCs w:val="23"/>
              </w:rPr>
            </w:pPr>
            <w:r>
              <w:rPr>
                <w:rFonts w:eastAsia="Calibri" w:cs="Calibri"/>
                <w:kern w:val="0"/>
                <w:sz w:val="23"/>
                <w:szCs w:val="23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57257C" w:rsidRDefault="006C57B3">
      <w:pPr>
        <w:spacing w:before="57" w:after="57"/>
        <w:ind w:firstLine="709"/>
        <w:contextualSpacing/>
        <w:jc w:val="both"/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</w:pPr>
      <w:r>
        <w:rPr>
          <w:rStyle w:val="-"/>
          <w:bCs/>
          <w:iCs/>
          <w:color w:val="000000"/>
          <w:spacing w:val="5"/>
          <w:sz w:val="28"/>
          <w:szCs w:val="28"/>
          <w:u w:val="none"/>
        </w:rPr>
        <w:lastRenderedPageBreak/>
        <w:t xml:space="preserve">На территории муниципального образования – </w:t>
      </w:r>
      <w:proofErr w:type="spellStart"/>
      <w:r>
        <w:rPr>
          <w:rStyle w:val="-"/>
          <w:bCs/>
          <w:iCs/>
          <w:color w:val="000000"/>
          <w:spacing w:val="5"/>
          <w:kern w:val="0"/>
          <w:sz w:val="28"/>
          <w:szCs w:val="22"/>
          <w:u w:val="none"/>
        </w:rPr>
        <w:t>Березниковское</w:t>
      </w:r>
      <w:proofErr w:type="spellEnd"/>
      <w:r>
        <w:rPr>
          <w:rStyle w:val="-"/>
          <w:bCs/>
          <w:iCs/>
          <w:color w:val="000000"/>
          <w:spacing w:val="5"/>
          <w:kern w:val="0"/>
          <w:sz w:val="28"/>
          <w:szCs w:val="22"/>
          <w:u w:val="none"/>
        </w:rPr>
        <w:t xml:space="preserve"> сельское поселение </w:t>
      </w:r>
      <w:proofErr w:type="spellStart"/>
      <w:r>
        <w:rPr>
          <w:rStyle w:val="-"/>
          <w:bCs/>
          <w:iCs/>
          <w:color w:val="000000"/>
          <w:spacing w:val="5"/>
          <w:kern w:val="0"/>
          <w:sz w:val="28"/>
          <w:szCs w:val="22"/>
          <w:u w:val="none"/>
        </w:rPr>
        <w:t>Сапожковского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 w:val="28"/>
          <w:szCs w:val="22"/>
          <w:u w:val="none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>муниципального района Рязанской области</w:t>
      </w:r>
      <w:r>
        <w:rPr>
          <w:rStyle w:val="-"/>
          <w:bCs/>
          <w:iCs/>
          <w:color w:val="000000"/>
          <w:spacing w:val="5"/>
          <w:sz w:val="28"/>
          <w:szCs w:val="28"/>
          <w:u w:val="none"/>
        </w:rPr>
        <w:t xml:space="preserve"> утвержденными документами территориального планирования не планируется размещение объектов федерального, регионального и местного значения.</w:t>
      </w:r>
    </w:p>
    <w:sectPr w:rsidR="0057257C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C2" w:rsidRDefault="00C60FC2">
      <w:pPr>
        <w:spacing w:before="0" w:after="0"/>
      </w:pPr>
      <w:r>
        <w:separator/>
      </w:r>
    </w:p>
  </w:endnote>
  <w:endnote w:type="continuationSeparator" w:id="0">
    <w:p w:rsidR="00C60FC2" w:rsidRDefault="00C60F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7C" w:rsidRDefault="0057257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7C" w:rsidRDefault="0057257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7C" w:rsidRDefault="0057257C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7C" w:rsidRDefault="0057257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C2" w:rsidRDefault="00C60FC2">
      <w:pPr>
        <w:spacing w:before="0" w:after="0"/>
      </w:pPr>
      <w:r>
        <w:separator/>
      </w:r>
    </w:p>
  </w:footnote>
  <w:footnote w:type="continuationSeparator" w:id="0">
    <w:p w:rsidR="00C60FC2" w:rsidRDefault="00C60FC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7C" w:rsidRDefault="0057257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7C" w:rsidRDefault="0057257C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7C" w:rsidRDefault="006C57B3">
    <w:pPr>
      <w:pStyle w:val="af2"/>
    </w:pPr>
    <w:r>
      <w:fldChar w:fldCharType="begin"/>
    </w:r>
    <w:r>
      <w:instrText>PAGE</w:instrText>
    </w:r>
    <w:r>
      <w:fldChar w:fldCharType="separate"/>
    </w:r>
    <w:r w:rsidR="00ED67AF">
      <w:rPr>
        <w:noProof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7C" w:rsidRDefault="006C57B3">
    <w:pPr>
      <w:pStyle w:val="af2"/>
    </w:pPr>
    <w:r>
      <w:fldChar w:fldCharType="begin"/>
    </w:r>
    <w:r>
      <w:instrText>PAGE</w:instrText>
    </w:r>
    <w:r>
      <w:fldChar w:fldCharType="separate"/>
    </w:r>
    <w:r w:rsidR="00ED67AF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167E9"/>
    <w:multiLevelType w:val="multilevel"/>
    <w:tmpl w:val="30F0C8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EC22D8"/>
    <w:multiLevelType w:val="multilevel"/>
    <w:tmpl w:val="C1928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7AA041F"/>
    <w:multiLevelType w:val="multilevel"/>
    <w:tmpl w:val="6B3E9B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257C"/>
    <w:rsid w:val="000C6A9B"/>
    <w:rsid w:val="00423878"/>
    <w:rsid w:val="0057257C"/>
    <w:rsid w:val="005C1AC1"/>
    <w:rsid w:val="006C57B3"/>
    <w:rsid w:val="00C60FC2"/>
    <w:rsid w:val="00E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footer"/>
    <w:basedOn w:val="a"/>
    <w:pPr>
      <w:ind w:left="757"/>
    </w:pPr>
    <w:rPr>
      <w:color w:val="808080"/>
    </w:rPr>
  </w:style>
  <w:style w:type="paragraph" w:customStyle="1" w:styleId="af">
    <w:name w:val="Содержимое таблицы"/>
    <w:basedOn w:val="a"/>
    <w:qFormat/>
    <w:pPr>
      <w:suppressLineNumbers/>
      <w:spacing w:before="0" w:after="0"/>
    </w:pPr>
  </w:style>
  <w:style w:type="paragraph" w:styleId="af0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1">
    <w:name w:val="Заголовок таблицы"/>
    <w:basedOn w:val="af"/>
    <w:qFormat/>
    <w:rPr>
      <w:b/>
      <w:bCs/>
    </w:rPr>
  </w:style>
  <w:style w:type="paragraph" w:styleId="af2">
    <w:name w:val="header"/>
    <w:basedOn w:val="a"/>
  </w:style>
  <w:style w:type="paragraph" w:styleId="af3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4">
    <w:name w:val="Верхний колонтитул слева"/>
    <w:basedOn w:val="af2"/>
    <w:qFormat/>
    <w:pPr>
      <w:suppressLineNumbers/>
      <w:tabs>
        <w:tab w:val="center" w:pos="5031"/>
        <w:tab w:val="right" w:pos="10062"/>
      </w:tabs>
    </w:pPr>
  </w:style>
  <w:style w:type="paragraph" w:customStyle="1" w:styleId="af5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6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7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overflowPunct w:val="0"/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overflowPunct w:val="0"/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8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9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overflowPunct w:val="0"/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552</cp:revision>
  <cp:lastPrinted>2025-05-05T13:30:00Z</cp:lastPrinted>
  <dcterms:created xsi:type="dcterms:W3CDTF">2024-01-19T12:41:00Z</dcterms:created>
  <dcterms:modified xsi:type="dcterms:W3CDTF">2025-05-05T13:30:00Z</dcterms:modified>
  <dc:language>ru-RU</dc:language>
</cp:coreProperties>
</file>