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7F" w:rsidRDefault="008D20E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57F" w:rsidRDefault="008D20E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A157F" w:rsidRDefault="008D20E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A157F" w:rsidRDefault="00FA15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A157F" w:rsidRDefault="00FA15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A157F" w:rsidRDefault="008D20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A157F" w:rsidRDefault="00FA157F">
      <w:pPr>
        <w:tabs>
          <w:tab w:val="left" w:pos="709"/>
        </w:tabs>
        <w:jc w:val="center"/>
        <w:rPr>
          <w:sz w:val="28"/>
        </w:rPr>
      </w:pPr>
    </w:p>
    <w:p w:rsidR="00FA157F" w:rsidRDefault="00FA157F">
      <w:pPr>
        <w:tabs>
          <w:tab w:val="left" w:pos="709"/>
        </w:tabs>
        <w:jc w:val="center"/>
        <w:rPr>
          <w:sz w:val="28"/>
        </w:rPr>
      </w:pPr>
    </w:p>
    <w:p w:rsidR="00FA157F" w:rsidRDefault="008D20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D4B7F">
        <w:rPr>
          <w:sz w:val="28"/>
        </w:rPr>
        <w:t xml:space="preserve"> 12 </w:t>
      </w:r>
      <w:r>
        <w:rPr>
          <w:sz w:val="28"/>
        </w:rPr>
        <w:t>»</w:t>
      </w:r>
      <w:r w:rsidR="008D4B7F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</w:t>
      </w:r>
      <w:r w:rsidR="001616CC">
        <w:rPr>
          <w:sz w:val="28"/>
        </w:rPr>
        <w:tab/>
      </w:r>
      <w:r w:rsidR="001616CC">
        <w:rPr>
          <w:sz w:val="28"/>
        </w:rPr>
        <w:tab/>
      </w:r>
      <w:r w:rsidR="001616CC">
        <w:rPr>
          <w:sz w:val="28"/>
        </w:rPr>
        <w:tab/>
        <w:t xml:space="preserve">    </w:t>
      </w:r>
      <w:r>
        <w:rPr>
          <w:sz w:val="28"/>
        </w:rPr>
        <w:t xml:space="preserve">            № </w:t>
      </w:r>
      <w:r w:rsidR="001616CC">
        <w:rPr>
          <w:sz w:val="28"/>
        </w:rPr>
        <w:t>341-п</w:t>
      </w:r>
    </w:p>
    <w:p w:rsidR="00FA157F" w:rsidRDefault="00FA157F">
      <w:pPr>
        <w:tabs>
          <w:tab w:val="left" w:pos="709"/>
        </w:tabs>
        <w:jc w:val="both"/>
        <w:rPr>
          <w:sz w:val="28"/>
        </w:rPr>
      </w:pPr>
    </w:p>
    <w:p w:rsidR="00FA157F" w:rsidRDefault="00FA157F">
      <w:pPr>
        <w:tabs>
          <w:tab w:val="left" w:pos="709"/>
        </w:tabs>
        <w:jc w:val="both"/>
        <w:rPr>
          <w:sz w:val="28"/>
        </w:rPr>
      </w:pPr>
    </w:p>
    <w:p w:rsidR="00FA157F" w:rsidRDefault="008D20E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Милославское сельское поселение </w:t>
      </w:r>
    </w:p>
    <w:p w:rsidR="00FA157F" w:rsidRDefault="008D20E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Милославского муниципального района Рязанской области</w:t>
      </w:r>
    </w:p>
    <w:bookmarkEnd w:id="0"/>
    <w:p w:rsidR="00FA157F" w:rsidRDefault="00FA157F">
      <w:pPr>
        <w:tabs>
          <w:tab w:val="left" w:pos="709"/>
        </w:tabs>
        <w:jc w:val="both"/>
        <w:rPr>
          <w:color w:val="auto"/>
          <w:sz w:val="28"/>
        </w:rPr>
      </w:pPr>
    </w:p>
    <w:p w:rsidR="00FA157F" w:rsidRDefault="008D20EB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</w:t>
      </w:r>
      <w:r>
        <w:rPr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01-14/1312/25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</w:t>
      </w:r>
      <w:r>
        <w:rPr>
          <w:color w:val="auto"/>
          <w:sz w:val="28"/>
          <w:szCs w:val="28"/>
        </w:rPr>
        <w:t>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Милославское</w:t>
      </w:r>
      <w:r>
        <w:rPr>
          <w:color w:val="auto"/>
          <w:sz w:val="28"/>
          <w:szCs w:val="28"/>
        </w:rPr>
        <w:t xml:space="preserve"> сельское поселение Милославского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</w:t>
      </w:r>
      <w:r>
        <w:rPr>
          <w:color w:val="000000" w:themeColor="text1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07.08.2023 № 362-п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Милославское сельское поселение Милославского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постановления Главархитектуры Ряза</w:t>
      </w:r>
      <w:r>
        <w:rPr>
          <w:color w:val="000000" w:themeColor="text1"/>
          <w:sz w:val="28"/>
        </w:rPr>
        <w:t>нской области от 08.10.2024 № 536-п)</w:t>
      </w:r>
      <w:r>
        <w:rPr>
          <w:color w:val="000000" w:themeColor="text1"/>
          <w:sz w:val="28"/>
        </w:rPr>
        <w:t>:</w:t>
      </w:r>
    </w:p>
    <w:p w:rsidR="00FA157F" w:rsidRDefault="008D20EB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«4.2 Зона сельскохозяйственного использования </w:t>
      </w:r>
      <w:r>
        <w:rPr>
          <w:color w:val="000000" w:themeColor="text1"/>
          <w:sz w:val="28"/>
        </w:rPr>
        <w:br/>
        <w:t>(вне границ населенных пунктов)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color w:val="000000" w:themeColor="text1"/>
          <w:sz w:val="28"/>
          <w:szCs w:val="28"/>
        </w:rPr>
        <w:br/>
        <w:t>приложению № 1</w:t>
      </w:r>
      <w:r>
        <w:rPr>
          <w:color w:val="000000" w:themeColor="text1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 Жилые зоны (населенный пункт с. Покрово-Гагарино)» </w:t>
      </w:r>
      <w:r>
        <w:rPr>
          <w:color w:val="000000" w:themeColor="text1"/>
          <w:sz w:val="28"/>
          <w:szCs w:val="28"/>
        </w:rPr>
        <w:t xml:space="preserve">изложить 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</w:t>
      </w:r>
      <w:r>
        <w:rPr>
          <w:color w:val="000000" w:themeColor="text1"/>
          <w:sz w:val="28"/>
          <w:szCs w:val="28"/>
        </w:rPr>
        <w:t xml:space="preserve">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Милославское сельское поселение Милославского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color w:val="000000" w:themeColor="text1"/>
          <w:sz w:val="28"/>
          <w:szCs w:val="28"/>
        </w:rPr>
        <w:t xml:space="preserve">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A157F" w:rsidRDefault="008D20E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8D4B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FA157F" w:rsidRDefault="008D20E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тделу информационного обеспечения градостроительной</w:t>
      </w:r>
      <w:r w:rsidRPr="008D4B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8D4B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</w:t>
      </w:r>
      <w:r>
        <w:rPr>
          <w:color w:val="auto"/>
          <w:sz w:val="28"/>
          <w:szCs w:val="28"/>
        </w:rPr>
        <w:t>го образования – Милославский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Милославское сельское поселение Милославского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</w:t>
      </w:r>
      <w:r>
        <w:rPr>
          <w:color w:val="000000" w:themeColor="text1"/>
          <w:sz w:val="28"/>
          <w:szCs w:val="28"/>
        </w:rPr>
        <w:t>те муниципального образования в сети «Интернет», публикацию в средствах массовой информации.</w:t>
      </w:r>
    </w:p>
    <w:p w:rsidR="00FA157F" w:rsidRDefault="008D20EB" w:rsidP="008D20E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</w:t>
      </w:r>
      <w:r>
        <w:rPr>
          <w:color w:val="000000" w:themeColor="text1"/>
          <w:sz w:val="28"/>
          <w:szCs w:val="28"/>
        </w:rPr>
        <w:t>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A157F" w:rsidRDefault="00FA157F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FA157F" w:rsidRDefault="00FA157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A157F" w:rsidRDefault="008D20E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A157F" w:rsidRDefault="00FA157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FA157F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EB" w:rsidRDefault="008D20EB">
      <w:r>
        <w:separator/>
      </w:r>
    </w:p>
  </w:endnote>
  <w:endnote w:type="continuationSeparator" w:id="0">
    <w:p w:rsidR="008D20EB" w:rsidRDefault="008D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EB" w:rsidRDefault="008D20EB">
      <w:r>
        <w:separator/>
      </w:r>
    </w:p>
  </w:footnote>
  <w:footnote w:type="continuationSeparator" w:id="0">
    <w:p w:rsidR="008D20EB" w:rsidRDefault="008D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7F" w:rsidRDefault="008D20E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616CC" w:rsidRPr="001616C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A157F" w:rsidRDefault="00FA157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39B8"/>
    <w:multiLevelType w:val="multilevel"/>
    <w:tmpl w:val="CBA066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EF06350"/>
    <w:multiLevelType w:val="hybridMultilevel"/>
    <w:tmpl w:val="8A9C0F08"/>
    <w:lvl w:ilvl="0" w:tplc="E0F2299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1AA2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8ED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286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3EA3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4208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188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C02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2C4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7F"/>
    <w:rsid w:val="001616CC"/>
    <w:rsid w:val="008D20EB"/>
    <w:rsid w:val="008D4B7F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A54E"/>
  <w15:docId w15:val="{F68309F6-1AAD-4E7C-9247-F105297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237</cp:revision>
  <dcterms:created xsi:type="dcterms:W3CDTF">2025-05-12T13:48:00Z</dcterms:created>
  <dcterms:modified xsi:type="dcterms:W3CDTF">2025-05-12T14:02:00Z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