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E4" w:rsidRDefault="00E73AA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E4" w:rsidRDefault="00E73A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07DE4" w:rsidRDefault="00E73AA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7DE4" w:rsidRDefault="00407D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7DE4" w:rsidRDefault="00407D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7DE4" w:rsidRDefault="00E73AA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7DE4" w:rsidRDefault="00407DE4">
      <w:pPr>
        <w:tabs>
          <w:tab w:val="left" w:pos="709"/>
        </w:tabs>
        <w:jc w:val="center"/>
        <w:rPr>
          <w:sz w:val="28"/>
        </w:rPr>
      </w:pPr>
    </w:p>
    <w:p w:rsidR="00407DE4" w:rsidRDefault="00407DE4">
      <w:pPr>
        <w:tabs>
          <w:tab w:val="left" w:pos="709"/>
        </w:tabs>
        <w:jc w:val="center"/>
        <w:rPr>
          <w:sz w:val="28"/>
        </w:rPr>
      </w:pPr>
    </w:p>
    <w:p w:rsidR="00407DE4" w:rsidRDefault="00E73AA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B7B62">
        <w:rPr>
          <w:sz w:val="28"/>
        </w:rPr>
        <w:t>21</w:t>
      </w:r>
      <w:r>
        <w:rPr>
          <w:sz w:val="28"/>
        </w:rPr>
        <w:t>»</w:t>
      </w:r>
      <w:r w:rsidR="00CB7B6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CB7B62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CB7B62">
        <w:rPr>
          <w:sz w:val="28"/>
        </w:rPr>
        <w:t>390-п</w:t>
      </w:r>
    </w:p>
    <w:p w:rsidR="00407DE4" w:rsidRDefault="00407DE4">
      <w:pPr>
        <w:tabs>
          <w:tab w:val="left" w:pos="709"/>
        </w:tabs>
        <w:jc w:val="both"/>
        <w:rPr>
          <w:sz w:val="28"/>
        </w:rPr>
      </w:pPr>
    </w:p>
    <w:p w:rsidR="00407DE4" w:rsidRDefault="00407DE4">
      <w:pPr>
        <w:tabs>
          <w:tab w:val="left" w:pos="709"/>
        </w:tabs>
        <w:jc w:val="both"/>
        <w:rPr>
          <w:sz w:val="28"/>
        </w:rPr>
      </w:pPr>
    </w:p>
    <w:p w:rsidR="00407DE4" w:rsidRDefault="00E73AA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Варсковское сельское поселение Рязанского муниципального района</w:t>
      </w:r>
    </w:p>
    <w:p w:rsidR="00407DE4" w:rsidRDefault="00E73AA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407DE4" w:rsidRDefault="00407DE4">
      <w:pPr>
        <w:tabs>
          <w:tab w:val="left" w:pos="709"/>
        </w:tabs>
        <w:jc w:val="center"/>
        <w:rPr>
          <w:color w:val="auto"/>
          <w:sz w:val="28"/>
        </w:rPr>
      </w:pPr>
    </w:p>
    <w:p w:rsidR="00407DE4" w:rsidRDefault="00E73AA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</w:t>
      </w:r>
      <w:r>
        <w:rPr>
          <w:color w:val="auto"/>
          <w:sz w:val="28"/>
          <w:szCs w:val="28"/>
        </w:rPr>
        <w:t>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color w:val="auto"/>
          <w:sz w:val="28"/>
          <w:szCs w:val="28"/>
        </w:rPr>
        <w:t>кой области», с учетом заключения о результатах общественных обсуждений                   от 28</w:t>
      </w:r>
      <w:r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t>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</w:t>
      </w:r>
      <w:r>
        <w:rPr>
          <w:color w:val="auto"/>
          <w:sz w:val="28"/>
          <w:szCs w:val="28"/>
        </w:rPr>
        <w:t>асти ПОСТАНОВЛЯЕТ: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01.04.2021 № 122-п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Рязанс</w:t>
      </w:r>
      <w:r>
        <w:rPr>
          <w:sz w:val="28"/>
          <w:highlight w:val="white"/>
        </w:rPr>
        <w:t xml:space="preserve">кой области от 11.05.2022 № 232-п, </w:t>
      </w:r>
      <w:r>
        <w:rPr>
          <w:sz w:val="28"/>
          <w:highlight w:val="white"/>
        </w:rPr>
        <w:br/>
        <w:t>от 09.04.2025 № 254-п</w:t>
      </w:r>
      <w:r>
        <w:rPr>
          <w:sz w:val="28"/>
          <w:szCs w:val="28"/>
          <w:highlight w:val="white"/>
        </w:rPr>
        <w:t xml:space="preserve">) (далее – Постановление),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407DE4" w:rsidRDefault="00E73AAC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в приложении № 1 к Постановлению в таблице пункта 2.2 положения </w:t>
      </w:r>
      <w:r>
        <w:rPr>
          <w:color w:val="000000" w:themeColor="text1"/>
          <w:sz w:val="28"/>
        </w:rPr>
        <w:br/>
        <w:t>о территориальном планировании:</w:t>
      </w:r>
    </w:p>
    <w:p w:rsidR="00407DE4" w:rsidRDefault="00E73AA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1772</w:t>
      </w:r>
      <w:r>
        <w:rPr>
          <w:rFonts w:cs="Times New Roman"/>
          <w:sz w:val="28"/>
          <w:szCs w:val="28"/>
        </w:rPr>
        <w:t>,03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1773,72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407DE4" w:rsidRDefault="00E73AA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цифры «</w:t>
      </w:r>
      <w:r>
        <w:rPr>
          <w:rFonts w:cs="Times New Roman"/>
          <w:sz w:val="28"/>
          <w:szCs w:val="28"/>
          <w:lang w:eastAsia="ru-RU" w:bidi="ru-RU"/>
        </w:rPr>
        <w:t>1299</w:t>
      </w:r>
      <w:r>
        <w:rPr>
          <w:rFonts w:cs="Times New Roman"/>
          <w:sz w:val="28"/>
          <w:szCs w:val="28"/>
          <w:lang w:eastAsia="ru-RU"/>
        </w:rPr>
        <w:t>,35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1295,73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407DE4" w:rsidRDefault="00E73AAC">
      <w:pPr>
        <w:widowControl w:val="0"/>
        <w:tabs>
          <w:tab w:val="left" w:pos="709"/>
        </w:tabs>
        <w:ind w:firstLine="709"/>
        <w:jc w:val="both"/>
        <w:rPr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577</w:t>
      </w:r>
      <w:r>
        <w:rPr>
          <w:rFonts w:cs="Times New Roman"/>
          <w:sz w:val="28"/>
          <w:szCs w:val="28"/>
          <w:lang w:eastAsia="ru-RU"/>
        </w:rPr>
        <w:t>,83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579,76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407DE4" w:rsidRDefault="00E73AAC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к Постановлению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постановлению;</w:t>
      </w:r>
    </w:p>
    <w:p w:rsidR="00407DE4" w:rsidRDefault="00E73AAC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к Постановлению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</w:t>
      </w:r>
      <w:r>
        <w:rPr>
          <w:color w:val="000000" w:themeColor="text1"/>
          <w:sz w:val="28"/>
          <w:szCs w:val="27"/>
        </w:rPr>
        <w:t>новлению.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</w:t>
      </w:r>
      <w:r>
        <w:rPr>
          <w:color w:val="000000" w:themeColor="text1"/>
          <w:sz w:val="28"/>
          <w:szCs w:val="28"/>
        </w:rPr>
        <w:t>адостроительной деятельности в соответствии с требованиями Градостроительного кодекса Российской Федерации.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07DE4" w:rsidRDefault="00E73AA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</w:t>
      </w:r>
      <w:r>
        <w:rPr>
          <w:rFonts w:ascii="Times New Roman" w:hAnsi="Times New Roman"/>
          <w:color w:val="000000" w:themeColor="text1"/>
          <w:sz w:val="28"/>
          <w:szCs w:val="28"/>
        </w:rPr>
        <w:t>бернатора и Правительства Рязанской области;</w:t>
      </w:r>
    </w:p>
    <w:p w:rsidR="00407DE4" w:rsidRDefault="00E73AA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</w:t>
      </w:r>
      <w:r>
        <w:rPr>
          <w:color w:val="000000" w:themeColor="text1"/>
          <w:sz w:val="28"/>
          <w:szCs w:val="28"/>
        </w:rPr>
        <w:t>ия на официальном сайте муниципального образования в сети «Интернет», публикацию в средствах массовой информации.</w:t>
      </w:r>
    </w:p>
    <w:p w:rsidR="00407DE4" w:rsidRDefault="00E73AAC" w:rsidP="00E73AA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 xml:space="preserve">и </w:t>
      </w:r>
      <w:r>
        <w:rPr>
          <w:color w:val="000000" w:themeColor="text1"/>
          <w:sz w:val="28"/>
          <w:szCs w:val="28"/>
        </w:rPr>
        <w:t>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07DE4" w:rsidRDefault="00407DE4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407DE4" w:rsidRDefault="00407DE4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407DE4" w:rsidRDefault="00E73AA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07DE4" w:rsidRDefault="00407DE4"/>
    <w:sectPr w:rsidR="00407DE4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C" w:rsidRDefault="00E73AAC">
      <w:r>
        <w:separator/>
      </w:r>
    </w:p>
  </w:endnote>
  <w:endnote w:type="continuationSeparator" w:id="0">
    <w:p w:rsidR="00E73AAC" w:rsidRDefault="00E7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C" w:rsidRDefault="00E73AAC">
      <w:r>
        <w:separator/>
      </w:r>
    </w:p>
  </w:footnote>
  <w:footnote w:type="continuationSeparator" w:id="0">
    <w:p w:rsidR="00E73AAC" w:rsidRDefault="00E7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E4" w:rsidRDefault="00E73AA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</w:instrText>
    </w:r>
    <w:r>
      <w:instrText>ERGEFORMAT</w:instrText>
    </w:r>
    <w:r>
      <w:fldChar w:fldCharType="separate"/>
    </w:r>
    <w:r w:rsidR="00CB7B62" w:rsidRPr="00CB7B6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07DE4" w:rsidRDefault="00407D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2A2E"/>
    <w:multiLevelType w:val="multilevel"/>
    <w:tmpl w:val="0A0856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E4"/>
    <w:rsid w:val="00407DE4"/>
    <w:rsid w:val="00CB7B62"/>
    <w:rsid w:val="00E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FC5A"/>
  <w15:docId w15:val="{5C35A7A8-C44C-4907-9E29-4F9DFD4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171</cp:revision>
  <dcterms:created xsi:type="dcterms:W3CDTF">2025-05-21T08:44:00Z</dcterms:created>
  <dcterms:modified xsi:type="dcterms:W3CDTF">2025-05-21T08:48:00Z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