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мая 2025 г. № 378-п</w:t>
      </w:r>
      <w:r/>
      <w:r>
        <w:rPr>
          <w:sz w:val="24"/>
          <w:szCs w:val="24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6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озелененных территорий общего пользования (населённый пункт р.п. </w:t>
      </w:r>
      <w:r>
        <w:rPr>
          <w:b/>
          <w:i/>
          <w:spacing w:val="-2"/>
          <w:sz w:val="20"/>
        </w:rPr>
        <w:t xml:space="preserve">Ухолово)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г.п. Ухоловское, рп </w:t>
            </w:r>
            <w:r>
              <w:rPr>
                <w:spacing w:val="-2"/>
                <w:sz w:val="20"/>
              </w:rPr>
              <w:t xml:space="preserve">Ухолово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552 154 м² ± 614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62:22-</w:t>
            </w:r>
            <w:r>
              <w:rPr>
                <w:spacing w:val="-4"/>
                <w:sz w:val="20"/>
              </w:rPr>
              <w:t xml:space="preserve">7.57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7448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7448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163,05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102,20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519,78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743,41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851,87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456,83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298,96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600,76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724,09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068,05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432,34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7443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74438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2025-04-29T12:53:44Z</dcterms:created>
  <dcterms:modified xsi:type="dcterms:W3CDTF">2025-05-19T14:46:06Z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