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3B074F">
        <w:tc>
          <w:tcPr>
            <w:tcW w:w="5428" w:type="dxa"/>
          </w:tcPr>
          <w:p w:rsidR="00190FF9" w:rsidRPr="003B074F" w:rsidRDefault="00190FF9" w:rsidP="0010790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B074F" w:rsidRDefault="00190FF9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B07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3B074F" w:rsidRDefault="003B074F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к распоряжению Губернатора Рязанской области</w:t>
            </w:r>
          </w:p>
        </w:tc>
      </w:tr>
      <w:tr w:rsidR="00CC4260" w:rsidRPr="003B074F">
        <w:tc>
          <w:tcPr>
            <w:tcW w:w="5428" w:type="dxa"/>
          </w:tcPr>
          <w:p w:rsidR="00CC4260" w:rsidRPr="003B074F" w:rsidRDefault="00CC4260" w:rsidP="0010790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C4260" w:rsidRPr="003B074F" w:rsidRDefault="001F0B24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06.06.2025 № 186-рг</w:t>
            </w:r>
            <w:bookmarkStart w:id="0" w:name="_GoBack"/>
            <w:bookmarkEnd w:id="0"/>
          </w:p>
        </w:tc>
      </w:tr>
      <w:tr w:rsidR="00CC4260" w:rsidRPr="003B074F">
        <w:tc>
          <w:tcPr>
            <w:tcW w:w="5428" w:type="dxa"/>
          </w:tcPr>
          <w:p w:rsidR="00CC4260" w:rsidRPr="003B074F" w:rsidRDefault="00CC4260" w:rsidP="0010790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C4260" w:rsidRPr="003B074F" w:rsidRDefault="00CC4260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60" w:rsidRPr="00107900">
        <w:tc>
          <w:tcPr>
            <w:tcW w:w="5428" w:type="dxa"/>
          </w:tcPr>
          <w:p w:rsidR="00CC4260" w:rsidRPr="00107900" w:rsidRDefault="00CC4260" w:rsidP="0010790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C4260" w:rsidRPr="00107900" w:rsidRDefault="00CC4260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60" w:rsidRPr="003B074F">
        <w:tc>
          <w:tcPr>
            <w:tcW w:w="5428" w:type="dxa"/>
          </w:tcPr>
          <w:p w:rsidR="00CC4260" w:rsidRPr="003B074F" w:rsidRDefault="00CC4260" w:rsidP="0010790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B074F" w:rsidRPr="00CC4260" w:rsidRDefault="003B074F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3B074F" w:rsidRPr="00CC4260" w:rsidRDefault="003B074F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к распоряжению Губернатора Рязанской области</w:t>
            </w:r>
          </w:p>
          <w:p w:rsidR="00CC4260" w:rsidRPr="003B074F" w:rsidRDefault="003B074F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от 16.09.2005 № 364-рг</w:t>
            </w:r>
          </w:p>
        </w:tc>
      </w:tr>
    </w:tbl>
    <w:p w:rsidR="00CC4260" w:rsidRPr="00CC4260" w:rsidRDefault="00CC4260" w:rsidP="00107900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CC4260" w:rsidRPr="00CC4260" w:rsidRDefault="00CC4260" w:rsidP="0010790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CC4260">
        <w:rPr>
          <w:rFonts w:ascii="Times New Roman" w:hAnsi="Times New Roman"/>
          <w:sz w:val="28"/>
          <w:szCs w:val="28"/>
        </w:rPr>
        <w:t>С</w:t>
      </w:r>
      <w:r w:rsidR="003B074F">
        <w:rPr>
          <w:rFonts w:ascii="Times New Roman" w:hAnsi="Times New Roman"/>
          <w:sz w:val="28"/>
          <w:szCs w:val="28"/>
        </w:rPr>
        <w:t xml:space="preserve"> </w:t>
      </w:r>
      <w:r w:rsidRPr="00CC4260">
        <w:rPr>
          <w:rFonts w:ascii="Times New Roman" w:hAnsi="Times New Roman"/>
          <w:sz w:val="28"/>
          <w:szCs w:val="28"/>
        </w:rPr>
        <w:t>О</w:t>
      </w:r>
      <w:r w:rsidR="003B074F">
        <w:rPr>
          <w:rFonts w:ascii="Times New Roman" w:hAnsi="Times New Roman"/>
          <w:sz w:val="28"/>
          <w:szCs w:val="28"/>
        </w:rPr>
        <w:t xml:space="preserve"> </w:t>
      </w:r>
      <w:r w:rsidRPr="00CC4260">
        <w:rPr>
          <w:rFonts w:ascii="Times New Roman" w:hAnsi="Times New Roman"/>
          <w:sz w:val="28"/>
          <w:szCs w:val="28"/>
        </w:rPr>
        <w:t>С</w:t>
      </w:r>
      <w:r w:rsidR="003B074F">
        <w:rPr>
          <w:rFonts w:ascii="Times New Roman" w:hAnsi="Times New Roman"/>
          <w:sz w:val="28"/>
          <w:szCs w:val="28"/>
        </w:rPr>
        <w:t xml:space="preserve"> </w:t>
      </w:r>
      <w:r w:rsidRPr="00CC4260">
        <w:rPr>
          <w:rFonts w:ascii="Times New Roman" w:hAnsi="Times New Roman"/>
          <w:sz w:val="28"/>
          <w:szCs w:val="28"/>
        </w:rPr>
        <w:t>Т</w:t>
      </w:r>
      <w:r w:rsidR="003B074F">
        <w:rPr>
          <w:rFonts w:ascii="Times New Roman" w:hAnsi="Times New Roman"/>
          <w:sz w:val="28"/>
          <w:szCs w:val="28"/>
        </w:rPr>
        <w:t xml:space="preserve"> </w:t>
      </w:r>
      <w:r w:rsidRPr="00CC4260">
        <w:rPr>
          <w:rFonts w:ascii="Times New Roman" w:hAnsi="Times New Roman"/>
          <w:sz w:val="28"/>
          <w:szCs w:val="28"/>
        </w:rPr>
        <w:t>А</w:t>
      </w:r>
      <w:r w:rsidR="003B074F">
        <w:rPr>
          <w:rFonts w:ascii="Times New Roman" w:hAnsi="Times New Roman"/>
          <w:sz w:val="28"/>
          <w:szCs w:val="28"/>
        </w:rPr>
        <w:t xml:space="preserve"> </w:t>
      </w:r>
      <w:r w:rsidRPr="00CC4260">
        <w:rPr>
          <w:rFonts w:ascii="Times New Roman" w:hAnsi="Times New Roman"/>
          <w:sz w:val="28"/>
          <w:szCs w:val="28"/>
        </w:rPr>
        <w:t>В</w:t>
      </w:r>
    </w:p>
    <w:p w:rsidR="003B074F" w:rsidRDefault="003B074F" w:rsidP="0010790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присуждению премии Р</w:t>
      </w:r>
      <w:r w:rsidRPr="00CC4260">
        <w:rPr>
          <w:rFonts w:ascii="Times New Roman" w:hAnsi="Times New Roman"/>
          <w:sz w:val="28"/>
          <w:szCs w:val="28"/>
        </w:rPr>
        <w:t>язанской области</w:t>
      </w:r>
    </w:p>
    <w:p w:rsidR="00CC4260" w:rsidRPr="00CC4260" w:rsidRDefault="003B074F" w:rsidP="0010790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CC4260">
        <w:rPr>
          <w:rFonts w:ascii="Times New Roman" w:hAnsi="Times New Roman"/>
          <w:sz w:val="28"/>
          <w:szCs w:val="28"/>
        </w:rPr>
        <w:t xml:space="preserve">имени С.А. </w:t>
      </w:r>
      <w:r>
        <w:rPr>
          <w:rFonts w:ascii="Times New Roman" w:hAnsi="Times New Roman"/>
          <w:sz w:val="28"/>
          <w:szCs w:val="28"/>
        </w:rPr>
        <w:t>Е</w:t>
      </w:r>
      <w:r w:rsidRPr="00CC4260">
        <w:rPr>
          <w:rFonts w:ascii="Times New Roman" w:hAnsi="Times New Roman"/>
          <w:sz w:val="28"/>
          <w:szCs w:val="28"/>
        </w:rPr>
        <w:t>сенина в области литературы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260">
        <w:rPr>
          <w:rFonts w:ascii="Times New Roman" w:hAnsi="Times New Roman"/>
          <w:sz w:val="28"/>
          <w:szCs w:val="28"/>
        </w:rPr>
        <w:t>и искусства</w:t>
      </w:r>
    </w:p>
    <w:p w:rsidR="00CC4260" w:rsidRPr="00CC4260" w:rsidRDefault="00CC4260" w:rsidP="00107900">
      <w:pPr>
        <w:spacing w:line="233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0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8"/>
        <w:gridCol w:w="236"/>
        <w:gridCol w:w="5998"/>
      </w:tblGrid>
      <w:tr w:rsidR="00CC4260" w:rsidRPr="00CC4260" w:rsidTr="00AA2789">
        <w:tc>
          <w:tcPr>
            <w:tcW w:w="3178" w:type="dxa"/>
          </w:tcPr>
          <w:p w:rsidR="00CC4260" w:rsidRPr="00CC4260" w:rsidRDefault="00CC4260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 xml:space="preserve">Рохлина </w:t>
            </w:r>
          </w:p>
          <w:p w:rsidR="00CC4260" w:rsidRPr="00CC4260" w:rsidRDefault="00CC4260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236" w:type="dxa"/>
          </w:tcPr>
          <w:p w:rsidR="00CC4260" w:rsidRPr="00CC4260" w:rsidRDefault="00CC4260" w:rsidP="0010790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CC4260" w:rsidRDefault="00CC4260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министр культуры Рязанской области, председатель комиссии</w:t>
            </w:r>
          </w:p>
          <w:p w:rsidR="003B074F" w:rsidRPr="00CC4260" w:rsidRDefault="003B074F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60" w:rsidRPr="00CC4260" w:rsidTr="00AA2789">
        <w:tc>
          <w:tcPr>
            <w:tcW w:w="3178" w:type="dxa"/>
          </w:tcPr>
          <w:p w:rsidR="00CC4260" w:rsidRPr="00CC4260" w:rsidRDefault="00CC4260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4260">
              <w:rPr>
                <w:rFonts w:ascii="Times New Roman" w:hAnsi="Times New Roman"/>
                <w:sz w:val="28"/>
                <w:szCs w:val="28"/>
              </w:rPr>
              <w:t>Стерлигова</w:t>
            </w:r>
            <w:proofErr w:type="spellEnd"/>
            <w:r w:rsidRPr="00CC4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4260" w:rsidRPr="00CC4260" w:rsidRDefault="00CC4260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236" w:type="dxa"/>
          </w:tcPr>
          <w:p w:rsidR="00CC4260" w:rsidRPr="00CC4260" w:rsidRDefault="00CC4260" w:rsidP="0010790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CC4260" w:rsidRDefault="00CC4260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заместитель министра культуры Рязанской области, заместитель председателя комиссии</w:t>
            </w:r>
          </w:p>
          <w:p w:rsidR="003B074F" w:rsidRPr="00CC4260" w:rsidRDefault="003B074F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60" w:rsidRPr="00CC4260" w:rsidTr="00AA2789">
        <w:tc>
          <w:tcPr>
            <w:tcW w:w="3178" w:type="dxa"/>
          </w:tcPr>
          <w:p w:rsidR="00CC4260" w:rsidRPr="00CC4260" w:rsidRDefault="00CC4260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4260">
              <w:rPr>
                <w:rFonts w:ascii="Times New Roman" w:hAnsi="Times New Roman"/>
                <w:sz w:val="28"/>
                <w:szCs w:val="28"/>
              </w:rPr>
              <w:t>Разумнова</w:t>
            </w:r>
            <w:proofErr w:type="spellEnd"/>
            <w:r w:rsidRPr="00CC4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4260" w:rsidRPr="00CC4260" w:rsidRDefault="00CC4260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236" w:type="dxa"/>
          </w:tcPr>
          <w:p w:rsidR="00CC4260" w:rsidRPr="00CC4260" w:rsidRDefault="00CC4260" w:rsidP="0010790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CC4260" w:rsidRDefault="00CC4260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 xml:space="preserve">ученый секретарь ГАУК «Государственный музей-заповедник С.А. Есенина», секретарь комиссии </w:t>
            </w:r>
          </w:p>
          <w:p w:rsidR="003B074F" w:rsidRPr="00CC4260" w:rsidRDefault="003B074F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60" w:rsidRPr="00CC4260" w:rsidTr="00AA2789">
        <w:tc>
          <w:tcPr>
            <w:tcW w:w="3178" w:type="dxa"/>
          </w:tcPr>
          <w:p w:rsidR="00CC4260" w:rsidRDefault="00CC4260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3B074F" w:rsidRPr="00CC4260" w:rsidRDefault="003B074F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C4260" w:rsidRPr="00CC4260" w:rsidRDefault="00CC4260" w:rsidP="0010790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8" w:type="dxa"/>
          </w:tcPr>
          <w:p w:rsidR="00CC4260" w:rsidRPr="00CC4260" w:rsidRDefault="00CC4260" w:rsidP="0010790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60" w:rsidRPr="00CC4260" w:rsidTr="00AA2789">
        <w:tc>
          <w:tcPr>
            <w:tcW w:w="3178" w:type="dxa"/>
          </w:tcPr>
          <w:p w:rsidR="00CC4260" w:rsidRPr="00CC4260" w:rsidRDefault="00CC4260" w:rsidP="0010790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 xml:space="preserve">Воронова </w:t>
            </w:r>
          </w:p>
          <w:p w:rsidR="00CC4260" w:rsidRPr="00CC4260" w:rsidRDefault="00CC4260" w:rsidP="0010790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Ольга Ефимовна</w:t>
            </w:r>
          </w:p>
        </w:tc>
        <w:tc>
          <w:tcPr>
            <w:tcW w:w="236" w:type="dxa"/>
          </w:tcPr>
          <w:p w:rsidR="00CC4260" w:rsidRPr="00CC4260" w:rsidRDefault="00CC4260" w:rsidP="00107900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CC4260" w:rsidRDefault="00CC4260" w:rsidP="0010790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доктор филологических нау</w:t>
            </w:r>
            <w:r w:rsidR="003B074F">
              <w:rPr>
                <w:rFonts w:ascii="Times New Roman" w:eastAsiaTheme="minorEastAsia" w:hAnsi="Times New Roman"/>
                <w:sz w:val="28"/>
                <w:szCs w:val="28"/>
              </w:rPr>
              <w:t xml:space="preserve">к, профессор кафедры литературы </w:t>
            </w: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 xml:space="preserve">и журналистики, руководитель Научно-методического центра </w:t>
            </w: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по изучению и пропаганде наследия </w:t>
            </w: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С.А. Есенина (Есенинского научного центра) </w:t>
            </w:r>
            <w:r w:rsidR="00107900">
              <w:rPr>
                <w:rFonts w:ascii="Times New Roman" w:eastAsiaTheme="minorEastAsia" w:hAnsi="Times New Roman"/>
                <w:sz w:val="28"/>
                <w:szCs w:val="28"/>
              </w:rPr>
              <w:t xml:space="preserve">ФГБОУ </w:t>
            </w:r>
            <w:proofErr w:type="gramStart"/>
            <w:r w:rsidR="00107900">
              <w:rPr>
                <w:rFonts w:ascii="Times New Roman" w:eastAsiaTheme="minorEastAsia" w:hAnsi="Times New Roman"/>
                <w:sz w:val="28"/>
                <w:szCs w:val="28"/>
              </w:rPr>
              <w:t>ВО</w:t>
            </w:r>
            <w:proofErr w:type="gramEnd"/>
            <w:r w:rsidR="00107900">
              <w:rPr>
                <w:rFonts w:ascii="Times New Roman" w:eastAsiaTheme="minorEastAsia" w:hAnsi="Times New Roman"/>
                <w:sz w:val="28"/>
                <w:szCs w:val="28"/>
              </w:rPr>
              <w:t xml:space="preserve"> «Рязанский государственный  университет</w:t>
            </w: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 xml:space="preserve"> имени С.А. Есенина</w:t>
            </w:r>
            <w:r w:rsidR="00107900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, член Комиссии по культуре и сохранению духовного наследия Общественной палаты Российской Федерации, член Общероссийской общественной организации «Союза писателей России» (по согласованию)</w:t>
            </w:r>
          </w:p>
          <w:p w:rsidR="003B074F" w:rsidRPr="00CC4260" w:rsidRDefault="003B074F" w:rsidP="0010790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C4260" w:rsidRPr="00CC4260" w:rsidTr="00AA2789">
        <w:tc>
          <w:tcPr>
            <w:tcW w:w="3178" w:type="dxa"/>
          </w:tcPr>
          <w:p w:rsidR="00CC4260" w:rsidRPr="00CC4260" w:rsidRDefault="00CC4260" w:rsidP="0010790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 xml:space="preserve">Воронцов </w:t>
            </w:r>
          </w:p>
          <w:p w:rsidR="00CC4260" w:rsidRPr="00CC4260" w:rsidRDefault="00CC4260" w:rsidP="0010790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Константин Петрович</w:t>
            </w:r>
          </w:p>
        </w:tc>
        <w:tc>
          <w:tcPr>
            <w:tcW w:w="236" w:type="dxa"/>
          </w:tcPr>
          <w:p w:rsidR="00CC4260" w:rsidRPr="00CC4260" w:rsidRDefault="00CC4260" w:rsidP="00107900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3B074F" w:rsidRDefault="00CC4260" w:rsidP="0010790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главный научный сотрудник отдела научно-методической, культурно-образовательно</w:t>
            </w:r>
            <w:r w:rsidR="003B074F">
              <w:rPr>
                <w:rFonts w:ascii="Times New Roman" w:eastAsiaTheme="minorEastAsia" w:hAnsi="Times New Roman"/>
                <w:sz w:val="28"/>
                <w:szCs w:val="28"/>
              </w:rPr>
              <w:t xml:space="preserve">й </w:t>
            </w:r>
            <w:r w:rsidR="003B074F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и экскурсионной деятельности </w:t>
            </w: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ГАУК</w:t>
            </w:r>
            <w:r w:rsidR="003B074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 xml:space="preserve">«Государственный музей-заповедник </w:t>
            </w:r>
          </w:p>
          <w:p w:rsidR="00CC4260" w:rsidRDefault="00CC4260" w:rsidP="0010790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С.А. Есенина», заслуженный работник культуры России</w:t>
            </w:r>
          </w:p>
          <w:p w:rsidR="003B074F" w:rsidRPr="00CC4260" w:rsidRDefault="003B074F" w:rsidP="0010790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C4260" w:rsidRPr="00CC4260" w:rsidTr="00AA2789">
        <w:tc>
          <w:tcPr>
            <w:tcW w:w="3178" w:type="dxa"/>
          </w:tcPr>
          <w:p w:rsidR="00CC4260" w:rsidRPr="00CC4260" w:rsidRDefault="00CC4260" w:rsidP="003B07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Гришина </w:t>
            </w:r>
          </w:p>
          <w:p w:rsidR="00CC4260" w:rsidRPr="00CC4260" w:rsidRDefault="00CC4260" w:rsidP="003B07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36" w:type="dxa"/>
          </w:tcPr>
          <w:p w:rsidR="00CC4260" w:rsidRPr="00CC4260" w:rsidRDefault="00CC4260" w:rsidP="003B074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3B074F" w:rsidRDefault="00CC4260" w:rsidP="003B07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директор ГБУК РО «Библиотека им. Горького», председатель Общественной палаты Рязанской области, заслуженный</w:t>
            </w:r>
            <w:r w:rsidR="003B074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работник культуры Российской Федерации, почетный гражданин Рязанской</w:t>
            </w:r>
            <w:r w:rsidR="003B074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 xml:space="preserve">области, кандидат психологических наук, почетный профессор </w:t>
            </w:r>
            <w:r w:rsidR="00107900">
              <w:rPr>
                <w:rFonts w:ascii="Times New Roman" w:eastAsiaTheme="minorEastAsia" w:hAnsi="Times New Roman"/>
                <w:sz w:val="28"/>
                <w:szCs w:val="28"/>
              </w:rPr>
              <w:t xml:space="preserve">ФГБОУ </w:t>
            </w:r>
            <w:proofErr w:type="gramStart"/>
            <w:r w:rsidR="00107900">
              <w:rPr>
                <w:rFonts w:ascii="Times New Roman" w:eastAsiaTheme="minorEastAsia" w:hAnsi="Times New Roman"/>
                <w:sz w:val="28"/>
                <w:szCs w:val="28"/>
              </w:rPr>
              <w:t>ВО</w:t>
            </w:r>
            <w:proofErr w:type="gramEnd"/>
            <w:r w:rsidR="00107900">
              <w:rPr>
                <w:rFonts w:ascii="Times New Roman" w:eastAsiaTheme="minorEastAsia" w:hAnsi="Times New Roman"/>
                <w:sz w:val="28"/>
                <w:szCs w:val="28"/>
              </w:rPr>
              <w:t xml:space="preserve"> «Рязанский государственный  университет</w:t>
            </w:r>
            <w:r w:rsidR="00107900" w:rsidRPr="00CC4260">
              <w:rPr>
                <w:rFonts w:ascii="Times New Roman" w:eastAsiaTheme="minorEastAsia" w:hAnsi="Times New Roman"/>
                <w:sz w:val="28"/>
                <w:szCs w:val="28"/>
              </w:rPr>
              <w:t xml:space="preserve"> имени С.А. Есенина</w:t>
            </w:r>
            <w:r w:rsidR="00107900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  <w:p w:rsidR="00107900" w:rsidRPr="00CC4260" w:rsidRDefault="00107900" w:rsidP="003B07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C4260" w:rsidRPr="00CC4260" w:rsidTr="00AA2789">
        <w:tc>
          <w:tcPr>
            <w:tcW w:w="3178" w:type="dxa"/>
          </w:tcPr>
          <w:p w:rsidR="00CC4260" w:rsidRPr="00CC4260" w:rsidRDefault="00CC4260" w:rsidP="003B074F">
            <w:pPr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 xml:space="preserve">Журавлев </w:t>
            </w:r>
          </w:p>
          <w:p w:rsidR="00CC4260" w:rsidRPr="00CC4260" w:rsidRDefault="00CC4260" w:rsidP="003B074F">
            <w:pPr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Вячеслав Геннадьевич</w:t>
            </w:r>
          </w:p>
        </w:tc>
        <w:tc>
          <w:tcPr>
            <w:tcW w:w="236" w:type="dxa"/>
          </w:tcPr>
          <w:p w:rsidR="00CC4260" w:rsidRPr="00CC4260" w:rsidRDefault="00CC4260" w:rsidP="003B07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CC4260" w:rsidRDefault="00CC4260" w:rsidP="003B074F">
            <w:pPr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директор ГАУК «Государственный музей-заповедник С.А. Есенина»</w:t>
            </w:r>
          </w:p>
          <w:p w:rsidR="003B074F" w:rsidRPr="00CC4260" w:rsidRDefault="003B074F" w:rsidP="003B0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60" w:rsidRPr="00CC4260" w:rsidTr="00AA2789">
        <w:tc>
          <w:tcPr>
            <w:tcW w:w="3178" w:type="dxa"/>
          </w:tcPr>
          <w:p w:rsidR="00CC4260" w:rsidRPr="00CC4260" w:rsidRDefault="00CC4260" w:rsidP="003B07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 xml:space="preserve">Зайцева </w:t>
            </w:r>
          </w:p>
          <w:p w:rsidR="00CC4260" w:rsidRPr="00CC4260" w:rsidRDefault="00CC4260" w:rsidP="003B07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236" w:type="dxa"/>
          </w:tcPr>
          <w:p w:rsidR="00CC4260" w:rsidRPr="00CC4260" w:rsidRDefault="00CC4260" w:rsidP="003B074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CC4260" w:rsidRDefault="00CC4260" w:rsidP="003B07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Председатель правления Рязанского регионального отделения Общероссийской общественной организации «Союз журналистов России»</w:t>
            </w:r>
            <w:r w:rsidRPr="00CC4260">
              <w:rPr>
                <w:rFonts w:ascii="Times New Roman" w:eastAsiaTheme="minorEastAsia" w:hAnsi="Times New Roman"/>
                <w:color w:val="FF0000"/>
                <w:sz w:val="28"/>
                <w:szCs w:val="28"/>
              </w:rPr>
              <w:t xml:space="preserve"> </w:t>
            </w: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(по согласованию)</w:t>
            </w:r>
          </w:p>
          <w:p w:rsidR="003B074F" w:rsidRPr="00CC4260" w:rsidRDefault="003B074F" w:rsidP="003B07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C4260" w:rsidRPr="00CC4260" w:rsidTr="00AA2789">
        <w:tc>
          <w:tcPr>
            <w:tcW w:w="3178" w:type="dxa"/>
          </w:tcPr>
          <w:p w:rsidR="00CC4260" w:rsidRPr="00CC4260" w:rsidRDefault="00CC4260" w:rsidP="003B074F">
            <w:pPr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 xml:space="preserve">Ибрагимов </w:t>
            </w:r>
          </w:p>
          <w:p w:rsidR="00CC4260" w:rsidRPr="00CC4260" w:rsidRDefault="00CC4260" w:rsidP="003B07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42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Нурислан</w:t>
            </w:r>
            <w:proofErr w:type="spellEnd"/>
            <w:r w:rsidRPr="00CC42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C42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Гатауллаевич</w:t>
            </w:r>
            <w:proofErr w:type="spellEnd"/>
          </w:p>
        </w:tc>
        <w:tc>
          <w:tcPr>
            <w:tcW w:w="236" w:type="dxa"/>
          </w:tcPr>
          <w:p w:rsidR="00CC4260" w:rsidRPr="00CC4260" w:rsidRDefault="00CC4260" w:rsidP="003B07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CC4260" w:rsidRDefault="00CC4260" w:rsidP="003B074F">
            <w:pPr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Председатель Правления Рязанского регионального отделения Общероссийской общественной организации «Союз писателей России» (по согласованию)</w:t>
            </w:r>
          </w:p>
          <w:p w:rsidR="003B074F" w:rsidRPr="00CC4260" w:rsidRDefault="003B074F" w:rsidP="003B0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60" w:rsidRPr="00CC4260" w:rsidTr="00AA2789">
        <w:tc>
          <w:tcPr>
            <w:tcW w:w="3178" w:type="dxa"/>
          </w:tcPr>
          <w:p w:rsidR="00AA2789" w:rsidRDefault="00CC4260" w:rsidP="003B074F">
            <w:pPr>
              <w:rPr>
                <w:rFonts w:ascii="Times New Roman" w:hAnsi="Times New Roman"/>
                <w:sz w:val="28"/>
              </w:rPr>
            </w:pPr>
            <w:r w:rsidRPr="00CC4260">
              <w:rPr>
                <w:rFonts w:ascii="Times New Roman" w:hAnsi="Times New Roman"/>
                <w:sz w:val="28"/>
              </w:rPr>
              <w:t xml:space="preserve">Кириллов </w:t>
            </w:r>
          </w:p>
          <w:p w:rsidR="00CC4260" w:rsidRPr="00AA2789" w:rsidRDefault="00CC4260" w:rsidP="00AA2789">
            <w:pPr>
              <w:ind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A2789">
              <w:rPr>
                <w:rFonts w:ascii="Times New Roman" w:hAnsi="Times New Roman"/>
                <w:spacing w:val="-2"/>
                <w:sz w:val="28"/>
                <w:szCs w:val="28"/>
              </w:rPr>
              <w:t>Константин Геннадьевич</w:t>
            </w:r>
          </w:p>
        </w:tc>
        <w:tc>
          <w:tcPr>
            <w:tcW w:w="236" w:type="dxa"/>
          </w:tcPr>
          <w:p w:rsidR="00CC4260" w:rsidRPr="00CC4260" w:rsidRDefault="00CC4260" w:rsidP="003B07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CC4260" w:rsidRDefault="00CC4260" w:rsidP="003B074F">
            <w:pPr>
              <w:rPr>
                <w:rFonts w:ascii="Times New Roman" w:hAnsi="Times New Roman"/>
                <w:sz w:val="28"/>
              </w:rPr>
            </w:pPr>
            <w:r w:rsidRPr="00CC4260">
              <w:rPr>
                <w:rFonts w:ascii="Times New Roman" w:hAnsi="Times New Roman"/>
                <w:sz w:val="28"/>
              </w:rPr>
              <w:t>Председатель Рязанского регионального отделения Общероссийской общественной организации «Союз театральных деятелей Российской Федерации (Всероссийское театральное общество)», директор ГАУК «Рязанский государственный областной театр кукол»</w:t>
            </w:r>
          </w:p>
          <w:p w:rsidR="003B074F" w:rsidRPr="00CC4260" w:rsidRDefault="003B074F" w:rsidP="003B074F">
            <w:pPr>
              <w:rPr>
                <w:rFonts w:ascii="Times New Roman" w:hAnsi="Times New Roman"/>
                <w:sz w:val="28"/>
              </w:rPr>
            </w:pPr>
          </w:p>
        </w:tc>
      </w:tr>
      <w:tr w:rsidR="00CC4260" w:rsidRPr="00CC4260" w:rsidTr="00AA2789">
        <w:tc>
          <w:tcPr>
            <w:tcW w:w="3178" w:type="dxa"/>
          </w:tcPr>
          <w:p w:rsidR="00CC4260" w:rsidRPr="00CC4260" w:rsidRDefault="00CC4260" w:rsidP="003B07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 xml:space="preserve">Орлов </w:t>
            </w:r>
          </w:p>
          <w:p w:rsidR="00CC4260" w:rsidRPr="00CC4260" w:rsidRDefault="00CC4260" w:rsidP="003B07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Владимир Борисович</w:t>
            </w:r>
          </w:p>
        </w:tc>
        <w:tc>
          <w:tcPr>
            <w:tcW w:w="236" w:type="dxa"/>
          </w:tcPr>
          <w:p w:rsidR="00CC4260" w:rsidRPr="00CC4260" w:rsidRDefault="00CC4260" w:rsidP="003B074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3B074F" w:rsidRDefault="00CC4260" w:rsidP="003B07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председатель Рязанского регионального отделения Общероссийской общественной организации «Союз </w:t>
            </w:r>
            <w:r w:rsidR="00DA4178">
              <w:rPr>
                <w:rFonts w:ascii="Times New Roman" w:eastAsiaTheme="minorEastAsia" w:hAnsi="Times New Roman"/>
                <w:sz w:val="28"/>
                <w:szCs w:val="28"/>
              </w:rPr>
              <w:t>Р</w:t>
            </w: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 xml:space="preserve">оссийских писателей» </w:t>
            </w:r>
          </w:p>
          <w:p w:rsidR="00CC4260" w:rsidRDefault="00CC4260" w:rsidP="003B07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C4260">
              <w:rPr>
                <w:rFonts w:ascii="Times New Roman" w:eastAsiaTheme="minorEastAsia" w:hAnsi="Times New Roman"/>
                <w:sz w:val="28"/>
                <w:szCs w:val="28"/>
              </w:rPr>
              <w:t>(по согласованию)</w:t>
            </w:r>
          </w:p>
          <w:p w:rsidR="003B074F" w:rsidRPr="00CC4260" w:rsidRDefault="003B074F" w:rsidP="003B074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C4260" w:rsidRPr="00CC4260" w:rsidTr="00AA2789">
        <w:tc>
          <w:tcPr>
            <w:tcW w:w="3178" w:type="dxa"/>
          </w:tcPr>
          <w:p w:rsidR="00AA2789" w:rsidRDefault="00CC4260" w:rsidP="003B074F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CC4260">
              <w:rPr>
                <w:rFonts w:ascii="Times New Roman" w:hAnsi="Times New Roman"/>
                <w:sz w:val="28"/>
              </w:rPr>
              <w:t>Шаповская</w:t>
            </w:r>
            <w:proofErr w:type="spellEnd"/>
            <w:r w:rsidRPr="00CC4260">
              <w:rPr>
                <w:rFonts w:ascii="Times New Roman" w:hAnsi="Times New Roman"/>
                <w:sz w:val="28"/>
              </w:rPr>
              <w:t xml:space="preserve"> </w:t>
            </w:r>
          </w:p>
          <w:p w:rsidR="00CC4260" w:rsidRPr="00CC4260" w:rsidRDefault="00CC4260" w:rsidP="003B074F">
            <w:pPr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236" w:type="dxa"/>
          </w:tcPr>
          <w:p w:rsidR="00CC4260" w:rsidRPr="00CC4260" w:rsidRDefault="00CC4260" w:rsidP="003B07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CC4260" w:rsidRPr="00CC4260" w:rsidRDefault="00CC4260" w:rsidP="003B074F">
            <w:pPr>
              <w:rPr>
                <w:rFonts w:ascii="Times New Roman" w:hAnsi="Times New Roman"/>
                <w:sz w:val="28"/>
              </w:rPr>
            </w:pPr>
            <w:r w:rsidRPr="00CC4260">
              <w:rPr>
                <w:rFonts w:ascii="Times New Roman" w:hAnsi="Times New Roman"/>
                <w:sz w:val="28"/>
              </w:rPr>
              <w:t>директор ГАУК «Рязанская областная филармония»</w:t>
            </w:r>
          </w:p>
        </w:tc>
      </w:tr>
    </w:tbl>
    <w:p w:rsidR="00945F31" w:rsidRDefault="00945F31" w:rsidP="00945F31">
      <w:pPr>
        <w:jc w:val="center"/>
        <w:rPr>
          <w:rFonts w:ascii="Times New Roman" w:hAnsi="Times New Roman"/>
          <w:sz w:val="28"/>
          <w:szCs w:val="28"/>
        </w:rPr>
      </w:pPr>
    </w:p>
    <w:p w:rsidR="00945F31" w:rsidRPr="00945F31" w:rsidRDefault="00945F31" w:rsidP="00945F31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945F31" w:rsidRPr="00945F31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C8" w:rsidRDefault="005D24C8">
      <w:r>
        <w:separator/>
      </w:r>
    </w:p>
  </w:endnote>
  <w:endnote w:type="continuationSeparator" w:id="0">
    <w:p w:rsidR="005D24C8" w:rsidRDefault="005D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C8" w:rsidRDefault="005D24C8">
      <w:r>
        <w:separator/>
      </w:r>
    </w:p>
  </w:footnote>
  <w:footnote w:type="continuationSeparator" w:id="0">
    <w:p w:rsidR="005D24C8" w:rsidRDefault="005D2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F0B24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07900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0B24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B074F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24C8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45F31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A2789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4260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4178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rsid w:val="00CC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rsid w:val="00CC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7</cp:revision>
  <cp:lastPrinted>2008-04-23T08:17:00Z</cp:lastPrinted>
  <dcterms:created xsi:type="dcterms:W3CDTF">2025-05-27T07:33:00Z</dcterms:created>
  <dcterms:modified xsi:type="dcterms:W3CDTF">2025-06-09T06:31:00Z</dcterms:modified>
</cp:coreProperties>
</file>