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  <w:br/>
        <w:t xml:space="preserve">от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09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.06.2025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№ 285-д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Кораблинский муниципальный округ Рязанской области применительно к территории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города Кораблино Кораблинского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</w:t>
        <w:br/>
        <w:t xml:space="preserve">по проекту генерального план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а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Кораблинский муниципальный округ Рязанской области применительно к территории города Кораблино Кораблинского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ГКУ РО «Центр градостроительного развития Рязанской области»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highlight w:val="white"/>
          <w:shd w:val="clear" w:color="auto" w:fill="ffffff"/>
          <w:lang w:eastAsia="en-US"/>
        </w:rPr>
        <w:t xml:space="preserve">.</w:t>
      </w:r>
      <w:r>
        <w:rPr>
          <w:sz w:val="27"/>
          <w:szCs w:val="27"/>
        </w:rPr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</w:rPr>
      </w:r>
      <w:r/>
    </w:p>
    <w:p>
      <w:pPr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</w:t>
        <w:br/>
        <w:t xml:space="preserve">по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02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июля 2025 г.</w:t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17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.05.2025 г.: https://uag.ryazan.gov.ru/announcements (Главная —&gt; Анонсы и объявления —&gt; Проект генерального плана г. Кораблино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Кораблинского м.о. от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17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5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.2025 г.).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Рязанская область, Кораблинский округ, 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г. Кораблино, ул. Маяковского, д. 17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17»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июня 2025 г. по 1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2:05 час. «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23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июн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eastAsia="en-US"/>
        </w:rPr>
        <w:t xml:space="preserve">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lang w:val="ru-RU" w:eastAsia="en-US" w:bidi="ar-SA"/>
        </w:rPr>
        <w:t xml:space="preserve"> )</w:t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/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/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yellow"/>
        </w:rPr>
      </w:r>
      <w:r/>
    </w:p>
    <w:p>
      <w:pPr>
        <w:ind w:left="-567" w:right="-285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yellow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 1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1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:45 час. по 12: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05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час. по адресу: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en-US" w:bidi="ar-SA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Кораблинский округ,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г. Кораблино, ул. Маяковского, д. 17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auto" w:fill="ffffff"/>
          <w:lang w:val="en-US" w:eastAsia="zh-CN" w:bidi="ar-SA"/>
        </w:rPr>
        <w:t xml:space="preserve">.</w:t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«17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«17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по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17» июня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июня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17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>
        <w:rPr>
          <w:rFonts w:eastAsia="Times New Roman" w:cs="Times New Roman"/>
          <w:color w:val="000000"/>
        </w:rPr>
      </w:r>
      <w:r/>
    </w:p>
    <w:p>
      <w:pPr>
        <w:ind w:left="-567" w:right="-284" w:firstLine="0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6"/>
          <w:szCs w:val="26"/>
          <w:u w:val="none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112</cp:revision>
  <dcterms:created xsi:type="dcterms:W3CDTF">2024-05-31T06:53:00Z</dcterms:created>
  <dcterms:modified xsi:type="dcterms:W3CDTF">2025-06-09T14:46:50Z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