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0" w:rsidRDefault="001428CE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90" w:rsidRDefault="001428CE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277890" w:rsidRDefault="001428CE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277890" w:rsidRDefault="00277890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277890" w:rsidRDefault="00277890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277890" w:rsidRDefault="001428CE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77890" w:rsidRDefault="001428CE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845B02">
        <w:rPr>
          <w:color w:val="000000" w:themeColor="text1"/>
          <w:sz w:val="28"/>
        </w:rPr>
        <w:t>10</w:t>
      </w:r>
      <w:r>
        <w:rPr>
          <w:color w:val="000000" w:themeColor="text1"/>
          <w:sz w:val="28"/>
        </w:rPr>
        <w:t>»</w:t>
      </w:r>
      <w:r w:rsidR="00845B02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       </w:t>
      </w:r>
      <w:r w:rsidR="00845B02">
        <w:rPr>
          <w:color w:val="000000" w:themeColor="text1"/>
          <w:sz w:val="28"/>
        </w:rPr>
        <w:tab/>
      </w:r>
      <w:r w:rsidR="00845B02">
        <w:rPr>
          <w:color w:val="000000" w:themeColor="text1"/>
          <w:sz w:val="28"/>
        </w:rPr>
        <w:tab/>
      </w:r>
      <w:r w:rsidR="00845B02">
        <w:rPr>
          <w:color w:val="000000" w:themeColor="text1"/>
          <w:sz w:val="28"/>
        </w:rPr>
        <w:tab/>
        <w:t xml:space="preserve">    </w:t>
      </w:r>
      <w:r>
        <w:rPr>
          <w:color w:val="000000" w:themeColor="text1"/>
          <w:sz w:val="28"/>
        </w:rPr>
        <w:t xml:space="preserve">  № </w:t>
      </w:r>
      <w:r w:rsidR="00845B02">
        <w:rPr>
          <w:color w:val="000000" w:themeColor="text1"/>
          <w:sz w:val="28"/>
        </w:rPr>
        <w:t>460-п</w:t>
      </w:r>
    </w:p>
    <w:p w:rsidR="00277890" w:rsidRDefault="0027789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277890" w:rsidRDefault="0027789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277890" w:rsidRDefault="001428CE">
      <w:pPr>
        <w:tabs>
          <w:tab w:val="left" w:pos="709"/>
        </w:tabs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 внесении изменений в правила землепользования и застройки</w:t>
      </w:r>
      <w:r>
        <w:rPr>
          <w:color w:val="000000" w:themeColor="text1"/>
          <w:sz w:val="28"/>
        </w:rPr>
        <w:br/>
        <w:t xml:space="preserve">муниципального образования – </w:t>
      </w:r>
      <w:r>
        <w:rPr>
          <w:color w:val="000000" w:themeColor="text1"/>
          <w:sz w:val="28"/>
          <w:szCs w:val="28"/>
        </w:rPr>
        <w:t>Павелецкое г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ородское поселение Скопинского</w:t>
      </w:r>
      <w:r>
        <w:rPr>
          <w:color w:val="000000" w:themeColor="text1"/>
          <w:sz w:val="28"/>
        </w:rPr>
        <w:t xml:space="preserve"> муниципального района Рязанской области</w:t>
      </w: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77890" w:rsidRDefault="001428CE">
      <w:pPr>
        <w:spacing w:line="242" w:lineRule="auto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На основании статей 32, 33 Градостроительного кодекса Российской Федерации, части 1</w:t>
      </w:r>
      <w:r>
        <w:rPr>
          <w:color w:val="000000" w:themeColor="text1"/>
          <w:sz w:val="27"/>
          <w:szCs w:val="27"/>
        </w:rPr>
        <w:t>2 статьи 34 Федерального закона от 23.06.2014 № 171-ФЗ «</w:t>
      </w:r>
      <w:r>
        <w:rPr>
          <w:rFonts w:cs="Times New Roman"/>
          <w:color w:val="000000" w:themeColor="text1"/>
          <w:sz w:val="27"/>
          <w:szCs w:val="27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color w:val="000000" w:themeColor="text1"/>
          <w:sz w:val="27"/>
          <w:szCs w:val="27"/>
        </w:rPr>
        <w:t>», статьи 2 Закона Рязанской области от 28.12.2018 № 106-ОЗ «О перераспределении отдел</w:t>
      </w:r>
      <w:r>
        <w:rPr>
          <w:color w:val="000000" w:themeColor="text1"/>
          <w:sz w:val="27"/>
          <w:szCs w:val="27"/>
        </w:rPr>
        <w:t>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</w:t>
      </w:r>
      <w:r>
        <w:rPr>
          <w:color w:val="000000" w:themeColor="text1"/>
          <w:sz w:val="27"/>
          <w:szCs w:val="27"/>
        </w:rPr>
        <w:t xml:space="preserve">  от 06.09.2022 № 320 «Об установлении случаев утверждения проектов генеральных планов, правил землепользования и застройки, планировки и межевания территории без проведения общественных обсуждений </w:t>
      </w:r>
      <w:r>
        <w:rPr>
          <w:color w:val="000000" w:themeColor="text1"/>
          <w:sz w:val="27"/>
          <w:szCs w:val="27"/>
        </w:rPr>
        <w:br/>
        <w:t>или публичных слушаний», от 06.08.2008 № 153  «Об утвержд</w:t>
      </w:r>
      <w:r>
        <w:rPr>
          <w:color w:val="000000" w:themeColor="text1"/>
          <w:sz w:val="27"/>
          <w:szCs w:val="27"/>
        </w:rPr>
        <w:t xml:space="preserve">ении Положения </w:t>
      </w:r>
      <w:r>
        <w:rPr>
          <w:color w:val="000000" w:themeColor="text1"/>
          <w:sz w:val="27"/>
          <w:szCs w:val="27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77890" w:rsidRDefault="001428CE">
      <w:pPr>
        <w:pStyle w:val="ConsPlusNormal1"/>
        <w:numPr>
          <w:ilvl w:val="0"/>
          <w:numId w:val="3"/>
        </w:numPr>
        <w:tabs>
          <w:tab w:val="clear" w:pos="0"/>
          <w:tab w:val="left" w:pos="708"/>
          <w:tab w:val="left" w:pos="1276"/>
        </w:tabs>
        <w:spacing w:line="242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Внести в правила землепользования и застройки муниципального образования – Павелец</w:t>
      </w:r>
      <w:r>
        <w:rPr>
          <w:rFonts w:ascii="Times New Roman" w:hAnsi="Times New Roman"/>
          <w:color w:val="000000" w:themeColor="text1"/>
          <w:sz w:val="27"/>
          <w:szCs w:val="27"/>
        </w:rPr>
        <w:t>кое городское поселение Скопинского муниципального района Рязанской области, утвержденные решением Совета депутатов муниципального образования – Павелецкое городское поселение Скопинского муниципального района Рязанской области от 28.11.2013 № 219 «Об утве</w:t>
      </w:r>
      <w:r>
        <w:rPr>
          <w:rFonts w:ascii="Times New Roman" w:hAnsi="Times New Roman"/>
          <w:color w:val="000000" w:themeColor="text1"/>
          <w:sz w:val="27"/>
          <w:szCs w:val="27"/>
        </w:rPr>
        <w:t>рждении правил землепользования и застройки муниципального образования – Павелецкое городское поселение Скопинского района Рязанской области», следующие изменения:</w:t>
      </w:r>
    </w:p>
    <w:p w:rsidR="00277890" w:rsidRDefault="001428CE">
      <w:pPr>
        <w:spacing w:line="242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cs="Times New Roman"/>
          <w:color w:val="000000" w:themeColor="text1"/>
          <w:sz w:val="27"/>
          <w:szCs w:val="27"/>
          <w:lang w:bidi="ar-SA"/>
        </w:rPr>
        <w:t>1) в статье 60:</w:t>
      </w:r>
    </w:p>
    <w:p w:rsidR="00277890" w:rsidRDefault="001428CE">
      <w:pPr>
        <w:spacing w:line="242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  <w:lang w:bidi="ar-SA"/>
        </w:rPr>
        <w:t xml:space="preserve"> пункт «а» части 2 изложить в следующей редакции:</w:t>
      </w:r>
    </w:p>
    <w:p w:rsidR="00277890" w:rsidRDefault="001428CE">
      <w:pPr>
        <w:spacing w:line="242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  <w:lang w:bidi="ar-SA"/>
        </w:rPr>
        <w:t xml:space="preserve"> «а) минимальный предел – 500 м2;»;</w:t>
      </w:r>
    </w:p>
    <w:p w:rsidR="00277890" w:rsidRDefault="001428CE">
      <w:pPr>
        <w:spacing w:line="242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  <w:lang w:bidi="ar-SA"/>
        </w:rPr>
        <w:t xml:space="preserve"> пункт «б» части 2 изложить в следующей редакции: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 xml:space="preserve"> «б) максимальный предел – 2000 м2.»;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основные виды разрешенного использования недвижимости, вспомогательные виды разрешенного использования, условно разрешенные виды использования изложить согласно приложению № 1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2) в статье 61 основные виды разрешенного использо</w:t>
      </w:r>
      <w:r>
        <w:rPr>
          <w:rFonts w:cs="Times New Roman"/>
          <w:color w:val="000000" w:themeColor="text1"/>
          <w:sz w:val="28"/>
          <w:szCs w:val="28"/>
          <w:lang w:bidi="ar-SA"/>
        </w:rPr>
        <w:t>вания, вспомогательные виды разрешенного использования, условно разрешенные виды использования изложить согласно приложению № 2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3) в статье 64 основные виды разрешённого использования, вспомогательные виды разрешённого использо</w:t>
      </w:r>
      <w:r>
        <w:rPr>
          <w:rFonts w:cs="Times New Roman"/>
          <w:color w:val="000000" w:themeColor="text1"/>
          <w:sz w:val="28"/>
          <w:szCs w:val="28"/>
          <w:lang w:bidi="ar-SA"/>
        </w:rPr>
        <w:t>вания, условно разрешённые виды использования изложить согласно приложению № 3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4) в статье 65 основные виды разрешённого использования, вспомогательные виды разрешённого использования, условно разрешенные виды использования изл</w:t>
      </w:r>
      <w:r>
        <w:rPr>
          <w:rFonts w:cs="Times New Roman"/>
          <w:color w:val="000000" w:themeColor="text1"/>
          <w:sz w:val="28"/>
          <w:szCs w:val="28"/>
          <w:lang w:bidi="ar-SA"/>
        </w:rPr>
        <w:t>ожить согласно приложению № 4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5) в статье 66 основные виды разрешённого использования, вспомогательные виды разрешённого использования, условно разрешенные виды использования изложить согласно приложению № 5 к настоящему постан</w:t>
      </w:r>
      <w:r>
        <w:rPr>
          <w:rFonts w:cs="Times New Roman"/>
          <w:color w:val="000000" w:themeColor="text1"/>
          <w:sz w:val="28"/>
          <w:szCs w:val="28"/>
          <w:lang w:bidi="ar-SA"/>
        </w:rPr>
        <w:t>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6) в статье 67 основные виды разрешённого использования, вспомогательные виды разрешённого использования, условно разрешенные виды использования изложить согласно приложению № 6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7) в статье 68 основные виды разрешённо</w:t>
      </w:r>
      <w:r>
        <w:rPr>
          <w:rFonts w:cs="Times New Roman"/>
          <w:color w:val="000000" w:themeColor="text1"/>
          <w:sz w:val="28"/>
          <w:szCs w:val="28"/>
          <w:lang w:bidi="ar-SA"/>
        </w:rPr>
        <w:t>го использования, вспомогательные виды разрешённого использования, условно разрешенные виды использования изложить согласно приложению № 7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8) в статье 71 основные виды разрешенного использования недвижимости, вспомогательные ви</w:t>
      </w:r>
      <w:r>
        <w:rPr>
          <w:rFonts w:cs="Times New Roman"/>
          <w:color w:val="000000" w:themeColor="text1"/>
          <w:sz w:val="28"/>
          <w:szCs w:val="28"/>
          <w:lang w:bidi="ar-SA"/>
        </w:rPr>
        <w:t>ды разрешенного использования, условно разрешенные виды использования изложить согласно приложению № 8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9) в статье 75 основные виды разрешенного использования, вспомогательные виды разрешенного использования, условно разрешенны</w:t>
      </w:r>
      <w:r>
        <w:rPr>
          <w:rFonts w:cs="Times New Roman"/>
          <w:color w:val="000000" w:themeColor="text1"/>
          <w:sz w:val="28"/>
          <w:szCs w:val="28"/>
          <w:lang w:bidi="ar-SA"/>
        </w:rPr>
        <w:t>е виды использования изложить согласно приложению № 9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10) в статье 78 основные виды разрешенного использования, вспомогательные виды разрешенного использования, условно разрешенные виды использования изложить согласно приложени</w:t>
      </w:r>
      <w:r>
        <w:rPr>
          <w:rFonts w:cs="Times New Roman"/>
          <w:color w:val="000000" w:themeColor="text1"/>
          <w:sz w:val="28"/>
          <w:szCs w:val="28"/>
          <w:lang w:bidi="ar-SA"/>
        </w:rPr>
        <w:t>ю № 10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11) в статье 82 основные виды разрешенного использования, вспомогательные виды разрешенного использования, условно разрешенные виды </w:t>
      </w: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использования изложить согласно приложению № 11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12) в стать</w:t>
      </w:r>
      <w:r>
        <w:rPr>
          <w:rFonts w:cs="Times New Roman"/>
          <w:color w:val="000000" w:themeColor="text1"/>
          <w:sz w:val="28"/>
          <w:szCs w:val="28"/>
          <w:lang w:bidi="ar-SA"/>
        </w:rPr>
        <w:t>е 83 основные виды разрешенного использования, вспомогательные виды разрешенного использования, условно разрешенные виды использования изложить согласно приложению № 12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13) в статье 93 основные виды разрешенного использования, </w:t>
      </w:r>
      <w:r>
        <w:rPr>
          <w:rFonts w:cs="Times New Roman"/>
          <w:color w:val="000000" w:themeColor="text1"/>
          <w:sz w:val="28"/>
          <w:szCs w:val="28"/>
          <w:lang w:bidi="ar-SA"/>
        </w:rPr>
        <w:t>вспомогательные виды разрешенного использования, условно разрешенные виды использования изложить согласно приложению № 13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14) в статье 94 основные виды разрешенного использования, вспомогательные виды разрешенного использования</w:t>
      </w:r>
      <w:r>
        <w:rPr>
          <w:rFonts w:cs="Times New Roman"/>
          <w:color w:val="000000" w:themeColor="text1"/>
          <w:sz w:val="28"/>
          <w:szCs w:val="28"/>
          <w:lang w:bidi="ar-SA"/>
        </w:rPr>
        <w:t>, условно разрешенные виды использования изложить согласно приложению № 14 к настоящему постановлению;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15) в статье 98 основные виды разрешенного использования, условно разрешенные виды использования изложить согласно приложению № 15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к настоящему постано</w:t>
      </w:r>
      <w:r>
        <w:rPr>
          <w:rFonts w:cs="Times New Roman"/>
          <w:color w:val="000000" w:themeColor="text1"/>
          <w:sz w:val="28"/>
          <w:szCs w:val="28"/>
          <w:lang w:bidi="ar-SA"/>
        </w:rPr>
        <w:t>влению;</w:t>
      </w:r>
    </w:p>
    <w:p w:rsidR="00277890" w:rsidRDefault="001428CE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16) в статье 99 основные виды разрешенного использования, вспомогательные виды разрешенного использования, условно разрешенные виды использования изложить согласно приложению № 16 к настоящему постановлению;</w:t>
      </w:r>
    </w:p>
    <w:p w:rsidR="00277890" w:rsidRDefault="001428C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17) в статье 100 основные виды разреше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нного использования, условно разрешенные виды использования изложить согласно приложению № 17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к настоящему постановлению;</w:t>
      </w:r>
    </w:p>
    <w:p w:rsidR="00277890" w:rsidRDefault="001428CE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18) дополнить графическим описанием местоположения границ территориальных зон согласно приложению № 18 к настоящему постановлению. </w:t>
      </w:r>
    </w:p>
    <w:p w:rsidR="00277890" w:rsidRDefault="001428CE">
      <w:pPr>
        <w:pStyle w:val="ConsPlusNormal1"/>
        <w:numPr>
          <w:ilvl w:val="0"/>
          <w:numId w:val="3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277890" w:rsidRDefault="001428CE">
      <w:pPr>
        <w:pStyle w:val="ConsPlusNormal1"/>
        <w:numPr>
          <w:ilvl w:val="0"/>
          <w:numId w:val="3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277890" w:rsidRDefault="001428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</w:rPr>
        <w:br/>
        <w:t>и зас</w:t>
      </w:r>
      <w:r>
        <w:rPr>
          <w:rFonts w:ascii="Times New Roman" w:hAnsi="Times New Roman"/>
          <w:color w:val="000000" w:themeColor="text1"/>
          <w:sz w:val="28"/>
        </w:rPr>
        <w:t xml:space="preserve">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Павелецкое городское поселение Скопинского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</w:t>
      </w:r>
      <w:r>
        <w:rPr>
          <w:rFonts w:ascii="Times New Roman" w:hAnsi="Times New Roman"/>
          <w:color w:val="000000" w:themeColor="text1"/>
          <w:sz w:val="28"/>
        </w:rPr>
        <w:t>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277890" w:rsidRDefault="001428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осударственной регистрации прав, ведение Единого государственного реестра недвижимости, сведения о границах территориальных зон для внесения в </w:t>
      </w:r>
      <w:r>
        <w:rPr>
          <w:rFonts w:ascii="Times New Roman" w:hAnsi="Times New Roman"/>
          <w:color w:val="000000" w:themeColor="text1"/>
          <w:sz w:val="28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br/>
        <w:t>от 13.07.2015 № 218-ФЗ «О госуда</w:t>
      </w:r>
      <w:r>
        <w:rPr>
          <w:rFonts w:ascii="Times New Roman" w:hAnsi="Times New Roman"/>
          <w:color w:val="000000" w:themeColor="text1"/>
          <w:sz w:val="28"/>
        </w:rPr>
        <w:t>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7890" w:rsidRDefault="001428CE">
      <w:pPr>
        <w:pStyle w:val="ConsPlusNormal1"/>
        <w:numPr>
          <w:ilvl w:val="0"/>
          <w:numId w:val="3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277890" w:rsidRDefault="001428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77890" w:rsidRDefault="001428C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277890" w:rsidRDefault="001428CE">
      <w:pPr>
        <w:pStyle w:val="ConsPlusNormal1"/>
        <w:numPr>
          <w:ilvl w:val="0"/>
          <w:numId w:val="3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</w:t>
      </w:r>
      <w:r>
        <w:rPr>
          <w:rFonts w:ascii="Times New Roman" w:hAnsi="Times New Roman"/>
          <w:color w:val="000000" w:themeColor="text1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277890" w:rsidRDefault="001428CE">
      <w:pPr>
        <w:pStyle w:val="ConsPlusNormal1"/>
        <w:numPr>
          <w:ilvl w:val="0"/>
          <w:numId w:val="3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Скопинск</w:t>
      </w:r>
      <w:r>
        <w:rPr>
          <w:rFonts w:ascii="Times New Roman" w:hAnsi="Times New Roman"/>
          <w:color w:val="000000" w:themeColor="text1"/>
          <w:sz w:val="28"/>
          <w:szCs w:val="28"/>
        </w:rPr>
        <w:t>ий муниципальный район Рязанской области, главе муниципального образования – Павелецкое городское поселение Скопинского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обеспечить размещение настоящего постановления на официальном сайте муниципального образования в</w:t>
      </w:r>
      <w:r>
        <w:rPr>
          <w:rFonts w:ascii="Times New Roman" w:hAnsi="Times New Roman"/>
          <w:color w:val="000000" w:themeColor="text1"/>
          <w:sz w:val="28"/>
        </w:rPr>
        <w:t xml:space="preserve"> сети «Интернет», публикацию в средствах массовой ин</w:t>
      </w:r>
      <w:r>
        <w:rPr>
          <w:rFonts w:ascii="Times New Roman" w:hAnsi="Times New Roman"/>
          <w:color w:val="000000" w:themeColor="text1"/>
          <w:sz w:val="28"/>
          <w:szCs w:val="28"/>
        </w:rPr>
        <w:t>формации.</w:t>
      </w:r>
    </w:p>
    <w:p w:rsidR="00277890" w:rsidRDefault="001428CE">
      <w:pPr>
        <w:pStyle w:val="ConsPlusNormal1"/>
        <w:numPr>
          <w:ilvl w:val="0"/>
          <w:numId w:val="3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277890" w:rsidRDefault="001428CE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Начальник            </w:t>
      </w:r>
      <w:r>
        <w:rPr>
          <w:color w:val="000000" w:themeColor="text1"/>
          <w:sz w:val="28"/>
        </w:rPr>
        <w:t xml:space="preserve">                                                                                        Р.В. Шашкин</w:t>
      </w: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77890" w:rsidRDefault="0027789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277890" w:rsidRDefault="002778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77890" w:rsidRDefault="00277890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277890" w:rsidSect="00845B02">
      <w:headerReference w:type="default" r:id="rId9"/>
      <w:pgSz w:w="11906" w:h="16838"/>
      <w:pgMar w:top="907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CE" w:rsidRDefault="001428CE">
      <w:r>
        <w:separator/>
      </w:r>
    </w:p>
  </w:endnote>
  <w:endnote w:type="continuationSeparator" w:id="0">
    <w:p w:rsidR="001428CE" w:rsidRDefault="0014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CE" w:rsidRDefault="001428CE">
      <w:r>
        <w:separator/>
      </w:r>
    </w:p>
  </w:footnote>
  <w:footnote w:type="continuationSeparator" w:id="0">
    <w:p w:rsidR="001428CE" w:rsidRDefault="0014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90" w:rsidRDefault="001428CE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845B02">
      <w:rPr>
        <w:noProof/>
      </w:rPr>
      <w:t>2</w:t>
    </w:r>
    <w:r>
      <w:fldChar w:fldCharType="end"/>
    </w:r>
  </w:p>
  <w:p w:rsidR="00277890" w:rsidRPr="00845B02" w:rsidRDefault="00277890">
    <w:pPr>
      <w:pStyle w:val="af8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0881"/>
    <w:multiLevelType w:val="multilevel"/>
    <w:tmpl w:val="687E15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0BF278D"/>
    <w:multiLevelType w:val="multilevel"/>
    <w:tmpl w:val="C23E67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6CBB2226"/>
    <w:multiLevelType w:val="multilevel"/>
    <w:tmpl w:val="45FADA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90"/>
    <w:rsid w:val="001428CE"/>
    <w:rsid w:val="00277890"/>
    <w:rsid w:val="008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D543"/>
  <w15:docId w15:val="{8383E1A4-31A6-4CDE-B9E0-72C89723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43</cp:revision>
  <dcterms:created xsi:type="dcterms:W3CDTF">2025-03-03T06:43:00Z</dcterms:created>
  <dcterms:modified xsi:type="dcterms:W3CDTF">2025-06-10T09:09:00Z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