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 w:cs="Times New Roman"/>
          <w:sz w:val="32"/>
          <w:szCs w:val="20"/>
          <w:lang w:eastAsia="ru-RU"/>
        </w:rPr>
      </w:pPr>
      <w:r>
        <w:rPr/>
        <w:drawing>
          <wp:inline distT="0" distB="0" distL="0" distR="0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Times New Roman" w:cs="Times New Roman"/>
          <w:b/>
          <w:spacing w:val="-28"/>
          <w:sz w:val="36"/>
          <w:szCs w:val="36"/>
          <w:lang w:eastAsia="ru-RU"/>
        </w:rPr>
      </w:pPr>
      <w:r>
        <w:rPr>
          <w:rFonts w:eastAsia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>
      <w:pPr>
        <w:pStyle w:val="Normal"/>
        <w:jc w:val="center"/>
        <w:rPr>
          <w:rFonts w:eastAsia="Times New Roman" w:cs="Times New Roman"/>
          <w:b/>
          <w:spacing w:val="-28"/>
          <w:sz w:val="36"/>
          <w:szCs w:val="36"/>
          <w:lang w:eastAsia="ru-RU"/>
        </w:rPr>
      </w:pPr>
      <w:r>
        <w:rPr>
          <w:rFonts w:eastAsia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>
      <w:pPr>
        <w:pStyle w:val="Normal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</w:p>
    <w:p>
      <w:pPr>
        <w:pStyle w:val="Normal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>
        <w:rPr>
          <w:rFonts w:eastAsia="Times New Roman" w:cs="Times New Roman"/>
          <w:b/>
          <w:sz w:val="32"/>
          <w:szCs w:val="20"/>
          <w:lang w:eastAsia="ru-RU"/>
        </w:rPr>
        <w:t>ПОСТАНОВЛЕНИЕ</w:t>
      </w:r>
    </w:p>
    <w:p>
      <w:pPr>
        <w:pStyle w:val="Normal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>
        <w:rPr>
          <w:rFonts w:eastAsia="Times New Roman" w:cs="Times New Roman"/>
          <w:b/>
          <w:sz w:val="32"/>
          <w:szCs w:val="20"/>
          <w:lang w:eastAsia="ru-RU"/>
        </w:rPr>
      </w:r>
    </w:p>
    <w:p>
      <w:pPr>
        <w:pStyle w:val="Normal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>
        <w:rPr>
          <w:rFonts w:eastAsia="Times New Roman" w:cs="Times New Roman"/>
          <w:b/>
          <w:sz w:val="32"/>
          <w:szCs w:val="20"/>
          <w:lang w:eastAsia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от «___» ______ 2025 г.  № ___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 министерства цифрового развития, информационных технологий и связи Рязанской области от 24.11.2022 № 2 «</w:t>
      </w:r>
      <w:r>
        <w:rPr>
          <w:sz w:val="28"/>
          <w:szCs w:val="28"/>
        </w:rPr>
        <w:t>Об утверждении технических требований к карте цифрового сервиса «Единая цифровая карта жителя Рязанской области»</w:t>
      </w:r>
    </w:p>
    <w:p>
      <w:pPr>
        <w:pStyle w:val="Normal"/>
        <w:spacing w:lineRule="auto" w:line="276"/>
        <w:ind w:first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 w:right="119"/>
        <w:jc w:val="both"/>
        <w:rPr>
          <w:rFonts w:eastAsia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Министерство цифрового развития, информационных технологий и связи Рязанской области, ПОСТАНОВЛЯЕТ:</w:t>
      </w:r>
    </w:p>
    <w:p>
      <w:pPr>
        <w:pStyle w:val="Normal"/>
        <w:spacing w:lineRule="auto" w:line="276"/>
        <w:ind w:first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Внести в постановление министерства цифрового развития, информационных технологий и связи Рязанской области от 24.11.2022 № 2 «Об утверждении технических требований к карте цифрового сервиса «Единая цифровая карта жителя Рязанской области» изменение, изложив приложение в новой редакции согласно приложению к настоящему постановлению.</w:t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235"/>
        <w:gridCol w:w="3119"/>
      </w:tblGrid>
      <w:tr>
        <w:trPr/>
        <w:tc>
          <w:tcPr>
            <w:tcW w:w="6235" w:type="dxa"/>
            <w:tcBorders/>
          </w:tcPr>
          <w:p>
            <w:pPr>
              <w:pStyle w:val="Style15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цифрового развития,</w:t>
              <w:br/>
              <w:t>информационных технологий и связи</w:t>
              <w:br/>
              <w:t>Рязанской области</w:t>
            </w:r>
          </w:p>
        </w:tc>
        <w:tc>
          <w:tcPr>
            <w:tcW w:w="3119" w:type="dxa"/>
            <w:tcBorders/>
          </w:tcPr>
          <w:p>
            <w:pPr>
              <w:pStyle w:val="Style14"/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4"/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 Соников</w:t>
            </w:r>
          </w:p>
        </w:tc>
      </w:tr>
    </w:tbl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цифрового развития,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и связи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 2025 г. №______ </w:t>
      </w:r>
    </w:p>
    <w:p>
      <w:pPr>
        <w:pStyle w:val="NormalWeb"/>
        <w:spacing w:lineRule="atLeast" w:line="288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к постановлению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цифрового развития,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и связи 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Рязанской области от 24 ноября 2022 г. № 2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ТЕХНИЧЕСКИЕ ТРЕБОВАНИЯ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КАРТЕ ЦИФРОВОГО СЕРВИСА «ЕДИНАЯ ЦИФРОВАЯ КАРТА ЖИТЕЛЯ РЯЗАНСКОЙ ОБЛАСТИ»</w:t>
      </w:r>
    </w:p>
    <w:p>
      <w:pPr>
        <w:pStyle w:val="NormalWeb"/>
        <w:spacing w:lineRule="atLeast" w:line="288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требования определяют технические характеристики, состав и содержание элементов графического дизайна и цифрового дизайна карты цифрового сервиса «Единая цифровая карта жителя Рязанской области» (далее - ЕЦК, Карта) и предназначены для применения кредитными организациями банками - эмитентами ЕЦК при осуществлении выпуска ЕЦК.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ЕЦК представляет собой многофункциональную именную пластиковую смарт-карту на материальном носителе и/или виртуальном носителе (при наличии технической возможности и согласия заявителя), содержащем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такого права), обеспечивающую получение мер социальной поддержки (в том числе в денежной форме с согласия держателя ЕЦК на открытый банковский счет в банке-эмитенте ЕЦК), социальных, медицинских, транспортных и иных услуг, участие в программах лояльности с использованием ЕЦК, на которой размещена визуальная и электронная информация и выпускается банком-эмитентом ЕЦК в виде: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банковской карты национальной платежной системы «Мир» </w:t>
        <w:br/>
        <w:t>со специальным графическим дизайном, отображаемым на материальном носителе (далее – ЕЦК со специальным графическим дизайном);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банковской карты национальной платежной системы «Мир» </w:t>
        <w:br/>
        <w:t xml:space="preserve">с цифровым дизайном, отображаемым на виртуальном носителе в мобильном приложении банка-эмитента ЕЦК (далее – ЕЦК с цифровым дизайном), который должен соответствовать общим техническим требованиям к ЕЦК со специальным графическим дизайном (при согласии заявителя и наличии технической возможности у заявителя и банка-эмитента).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действующей банковской карты национальной платежной системы «Мир» к цифровому сервису «Единая цифровая карта жителя Рязанской области» производится банком-эмитентом ЕЦК (при наличии технической возможности) на основании заявления держателя такой банковской карты. 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банковской карты национальной платежной системы «Мир» к цифровому сервису «Единая цифровая карта жителя Рязанской области» - процедура присвоения статуса ЕЦК в цифровом сервисе «Единая цифровая карта жителя Рязанской области» для дебетовой банковской карты национальной платежной системы «Мир» с цифровым дизайном, отображаемом в мобильном приложении банка-эмитента ЕЦК.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ЕЦК с цифровым дизайном и ЕЦК со специальным графическим дизайном предоставляется возможность функционирования приложений (сервисов) ЕЦК, предусмотренных постановлением Правительства Рязанской области от 25.10.2022 № 380 «О реализации цифрового сервиса «Единая цифровая карта жителя Рязанской области».</w:t>
      </w:r>
    </w:p>
    <w:p>
      <w:pPr>
        <w:pStyle w:val="NormalWeb"/>
        <w:spacing w:lineRule="auto" w:line="276" w:before="280" w:after="2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требования к ЕЦК со специальным графическим дизайном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дизайн ЕЦК разрабатывается кредитной организацией с учетом его нанесения на ЕЦК формата ID-1 в соответствии с национальным стандартом Российской Федерации ГОСТ Р ИСО/МЭК 7810-2015 «Карты идентификационные. Физические характеристики», документами «Фирменный стиль бренда «Мир». Руководство по использованию», «Стандарт платежной системы «Мир». Руководство по дизайну карты «Мир» акционерного общества «Национальная система платежных карт».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Кредитная организация вправе запросить графические материалы фонового изображения для размещения на лицевой стороне ЕЦК в векторном виде у министерства цифрового развития, информационных технологий и связи Рязанской области (далее - Министерство) или разработать самостоятельно, а также определить цвет шрифта словосочетания «Единая цифровая карта жителя Рязанской области».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Кредитная организация согласовывает с Министерством и оператором цифрового сервиса ЕЦК (далее - оператор ЕЦК):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 лицевой и оборотной стороны ЕЦК, включая графический дизайн;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форм-фактор ЕЦК, отличный от настоящих технических требований, при условии сохранения возможности получения ЕЦК в соответствии с настоящими техническими требованиями.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и оператор ЕЦК осуществляют согласование в течение пяти рабочих дней со дня получения согласуемой информации от кредитной организации.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требования к ЕЦК: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словосочетания «Единая цифровая карта жителя Рязанской области» (предоставляется в векторном формате Министерством);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изображения бренда Рязанской области (предоставляется в векторном формате Министерством);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логотип программы «Забота» (предоставляется в векторном формате Министерством) по согласованию с правообладателем программы «Забота» для держателя карты, который имеет право на участие в данной программе;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QR-код. Требования к QR-коду: параметры генерации QR-кода (номер версии - 1, уровень коррекции - H). Темный код и светлый фон, четкая печать без размытия. Содержание: уникальный идентификатор ЕЦК;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штрих-код (Code-128). Требования к штрих-коду: темный код и светлый фон, четкая печать без размытия. Содержание: уникальный идентификатор ЕЦК (при наличии технической возможности);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печать уникального идентификатора ЕЦК «цифрами» под штрих-кодом  (обязательно при наличии технической возможности печати штрих-кода);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печать уникального идентификатора ЕЦК «цифрами» (при отсутствии технической возможности печати штрих-кода с цифровым идентификатором ЕЦК).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идентификатор ЕЦК формируется по следующему алгоритму: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- 62XXXXXXXXXXXXXZ - строка из 16 цифр, где: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- 62 - фиксированный префикс для ЕЦК;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X - цифра от «0» до «9»;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Z - 1 цифра, контрольное число (число Луна).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надпись сайт ЕЦК (название адреса официального сайта оператора ЕЦК);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телефона оператора ЕЦК рядом с адресом его официального сайта.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наносимые на ЕЦК элементы графического дизайна должны быть четко и однозначно читаемыми и сохраняться в течение всего срока службы ЕЦК.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ЕЦК должна соответствовать требованиям национальной платежной системы «Мир».</w:t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Технические характеристики ЕЦК</w:t>
      </w:r>
    </w:p>
    <w:p>
      <w:pPr>
        <w:pStyle w:val="NormalWeb"/>
        <w:spacing w:lineRule="auto" w:line="276"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8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24"/>
        <w:gridCol w:w="2520"/>
        <w:gridCol w:w="5840"/>
      </w:tblGrid>
      <w:tr>
        <w:trPr/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характеристики для ЕЦК со специальным графическим дизайном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NN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Общие технические требования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PVC-пластик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Формат ID-1 в соответствии с национальным стандартом Российской Федерации ГОСТ Р ИСО/МЭК 7810-2015 «Карты идентификационные. Физические характеристики»: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ширина 85,595 +/- 0,0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25 мм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высота 53,975 +/- 0,055 мм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толщина 0,760 +/-0,080 мм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радиус скругления углов 3,180 +/- 0,30 мм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службы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менее 3 лет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циклов чтения-записи памяти карты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менее 100000 штук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Магнитная полоса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HiCo 2750 Ое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Кодирование (персонализация) магнитной полосы и размещение данных на первой и второй дорожках - в соответствии с документом «Требования к данным на магнитной полосе и EMV-эквиваленте карты Платежной системы «Мир» и иными документами акционерного общества «Национальная система платежных карт»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Товарный знак «Мир»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требованиями акционерного общества «Национальная система платежных карт»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требования к печати и размещению графических элементов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Печать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заготовки ЕЦК - офсетная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требованиями банка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Защитный слой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Матовый, ламинирование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Разрешение печати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менее 600 dpi x 600 dpi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Максимальная цветность печати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CMYK (Cyan (сине-зеленый), Magenta (пурпурный), Yellow (желтый), Keycolor (черный)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Дополнительные технические характеристики ЕЦК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Тип карты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Дуальная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ГОСТами: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 Р ИСО/МЭК 7811-2017 «Карты идентификационные» и ГОСТ Р ИСО/МЭК 7816-2013 «Карты идентификационные. Карты на интегральных схемах»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Поддержка стандартов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Требования к карточным платформам. Процедура подготовки карты ПС «Мир»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EMV, поддержка эмуляции технологии Mifare Classic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частота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 Р ИСО/МЭК 14443-2013 «Карты идентификационные. Карты на интегральных схемах бесконтактные. Карты близкого действия. Часть 1. Физические характеристики» 13,56 МГц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Скорость передачи данных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 Р ИСО/МЭК 14443-2013 «Карты идентификационные. Карты на интегральных схемах бесконтактные. Карты близкого действия. Часть 2. Радиочастотный энергетический и сигнальный интерфейс» 106-848 Кбит/с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Стабильность размеров и коробление карт при воздействии температуры и влажности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 Р ИСО/МЭК 7810-2015 «Национальный стандарт Российской Федерации. Карты идентификационные. Физические характеристики» от -35°С до +50°С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Рабочий диапазон температур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ГОСТ Р ИСО/МЭК 7810-2015 «Национальный стандарт Российской Федерации. Карты идентификационные. Физические характеристики» от 0°С до +50°С. Условия эксплуатации транспортного электронного приложения при рабочем диапазоне температур от -20°С до +50°С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требования к банковскому платежному электронному приложению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Банковское платежное электронное приложение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документами «Стандарт ПС Мир. Спецификация персонализации платежного приложения Мир», «Стандарт ПС Мир. Продукты платежной системы Мир»и иными.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Размещение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Issuer Security Domain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механизма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Proximity Payment System Environment (PPSE)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Согласно требованиям Национальной системы платежных карт, оператора национальной платежной системы «Мир»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требования к транспортному электронному приложению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Транспортное электронное приложение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Электронное приложение, обеспечивающее запись, хранение и контроль использования проездных документов при проезде в транспорте общего пользования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Требования совместимости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Совместимость с программно-аппаратными комплексами действующих автоматизированных систем оплаты проезда в Рязанской области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Запись проездных документов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Осуществляется по бесконтактному интерфейсу с использованием команд по спецификациям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Хранение и контроль использования проездных документов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Осуществляется в памяти области разметки Mifare Classic и/или в системе Account Based Ticketing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использования проездных документов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Размещение данных в памяти области разметки Mifare Classic и/или в системе Account Based Ticketing (ABT) при наличии технической возможности, необходимых для контроля использования в действующих системах контроля и автоматизированной оплаты проезда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Уровни безопасности транспортного приложения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Организационно-программный уровень безопасности транспортного приложения, обеспечивающий: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мониторинг остатков средств и срока действия электронного проездного билета держателя ЕЦК в центре обработки транспортных транзакций;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механизм блокировки и деблокировки карт транспортного приложения держателя ЕЦК;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механизм отслеживания транспортных транзакций, не переданных в центр обработки транспортных транзакций;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идентификацию транзакций по картам, не являющимися ЕЦК;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создание и контроль базы проездных при реализации технологии Account Based Ticketing (ABT) в действующих системах контроля и автоматизированной оплаты проезда;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взаимодействие с терминальным уровнем безопасности.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Терминальный уровень безопасности, обеспечивающий: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безопасное хранение ключевой информации, конфигурационных параметров базы проездных при реализации технологии Account Based Ticketing (ABT) в действующих системах контроля и автоматизированной оплаты проезда и программного кода;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безопасный механизм занесения ключевой информации, конфигурационных параметров и программного кода;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защищенный механизм хранения информации о проведенных транзакциях;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наличие контрольной суммы, обеспечивающей проверку целостности транзакционных данных;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взаимодействие с карточным уровнем безопасности.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Карточный уровень безопасности, обеспечивающий: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диверсификацию ключей доступа к карте на уникальном номере чипа карты (каждая карта имеет свои собственные ключи доступа);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ведение на карте аппаратного счетчика транзакций, необратимо меняющегося при каждой транзакции;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наличие скрытых элементов безопасности в памяти карты;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хранение признака блокировки карты в памяти самой карты;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наличие контрольной суммы, обеспечивающей проверку целостности данных карты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требования к идентификации держателя ЕЦК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Идентификация держателя ЕЦК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Идентификация осуществляется с помощью уникального идентификатора ЕЦК. Алгоритм формирования уникального идентификатора ЕЦК приведен в разделе I настоящих технических требований. Идентификатор размещается на ЕЦК банком-эмитентом ЕЦК с помощью уникального идентификатора ЕЦК, сформированного оператором ЕЦК и переданного банку-эмитенту ЕЦК</w:t>
            </w:r>
          </w:p>
        </w:tc>
      </w:tr>
      <w:tr>
        <w:trPr/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характеристики для ЕЦК с цифровым дизайном.</w:t>
            </w:r>
          </w:p>
        </w:tc>
      </w:tr>
      <w:tr>
        <w:trPr/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Технические требования к картам цифрового сервиса «Единая цифровая карта жителя Рязанской области», выпускаемым банками-эмитентами с цифровым дизайном, соответствуют требованиям стандартам платежной системы «Мир» к дебетовым картам «Мир».»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76"/>
        <w:ind w:hanging="0" w:left="804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da8"/>
    <w:pPr>
      <w:widowControl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6"/>
      <w:szCs w:val="26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dd1da8"/>
    <w:pPr>
      <w:ind w:left="1531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2"/>
    <w:uiPriority w:val="9"/>
    <w:unhideWhenUsed/>
    <w:qFormat/>
    <w:rsid w:val="00dd1da8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3"/>
    <w:uiPriority w:val="9"/>
    <w:unhideWhenUsed/>
    <w:qFormat/>
    <w:rsid w:val="00dd1da8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4"/>
    <w:uiPriority w:val="9"/>
    <w:unhideWhenUsed/>
    <w:qFormat/>
    <w:rsid w:val="00dd1da8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</w:rPr>
  </w:style>
  <w:style w:type="paragraph" w:styleId="Heading5">
    <w:name w:val="Heading 5"/>
    <w:basedOn w:val="Normal"/>
    <w:link w:val="5"/>
    <w:uiPriority w:val="9"/>
    <w:unhideWhenUsed/>
    <w:qFormat/>
    <w:rsid w:val="00dd1da8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6"/>
    <w:uiPriority w:val="9"/>
    <w:unhideWhenUsed/>
    <w:qFormat/>
    <w:rsid w:val="00dd1da8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7"/>
    <w:uiPriority w:val="9"/>
    <w:unhideWhenUsed/>
    <w:qFormat/>
    <w:rsid w:val="00dd1da8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8"/>
    <w:uiPriority w:val="9"/>
    <w:unhideWhenUsed/>
    <w:qFormat/>
    <w:rsid w:val="00dd1da8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9"/>
    <w:uiPriority w:val="9"/>
    <w:unhideWhenUsed/>
    <w:qFormat/>
    <w:rsid w:val="00dd1da8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dd1da8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dd1da8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dd1da8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dd1da8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dd1da8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dd1da8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dd1da8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dd1da8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dd1da8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dd1da8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dd1da8"/>
    <w:rPr>
      <w:sz w:val="24"/>
      <w:szCs w:val="24"/>
    </w:rPr>
  </w:style>
  <w:style w:type="character" w:styleId="QuoteChar" w:customStyle="1">
    <w:name w:val="Quote Char"/>
    <w:uiPriority w:val="29"/>
    <w:qFormat/>
    <w:rsid w:val="00dd1da8"/>
    <w:rPr>
      <w:i/>
    </w:rPr>
  </w:style>
  <w:style w:type="character" w:styleId="IntenseQuoteChar" w:customStyle="1">
    <w:name w:val="Intense Quote Char"/>
    <w:uiPriority w:val="30"/>
    <w:qFormat/>
    <w:rsid w:val="00dd1da8"/>
    <w:rPr>
      <w:i/>
    </w:rPr>
  </w:style>
  <w:style w:type="character" w:styleId="HeaderChar" w:customStyle="1">
    <w:name w:val="Header Char"/>
    <w:basedOn w:val="DefaultParagraphFont"/>
    <w:uiPriority w:val="99"/>
    <w:qFormat/>
    <w:rsid w:val="00dd1da8"/>
    <w:rPr/>
  </w:style>
  <w:style w:type="character" w:styleId="FooterChar" w:customStyle="1">
    <w:name w:val="Footer Char"/>
    <w:basedOn w:val="DefaultParagraphFont"/>
    <w:uiPriority w:val="99"/>
    <w:qFormat/>
    <w:rsid w:val="00dd1da8"/>
    <w:rPr/>
  </w:style>
  <w:style w:type="character" w:styleId="CaptionChar" w:customStyle="1">
    <w:name w:val="Caption Char"/>
    <w:uiPriority w:val="99"/>
    <w:qFormat/>
    <w:rsid w:val="00dd1da8"/>
    <w:rPr/>
  </w:style>
  <w:style w:type="character" w:styleId="FootnoteTextChar" w:customStyle="1">
    <w:name w:val="Footnote Text Char"/>
    <w:uiPriority w:val="99"/>
    <w:qFormat/>
    <w:rsid w:val="00dd1da8"/>
    <w:rPr>
      <w:sz w:val="18"/>
    </w:rPr>
  </w:style>
  <w:style w:type="character" w:styleId="FootnoteCharacters" w:customStyle="1">
    <w:name w:val="Footnote Characters"/>
    <w:uiPriority w:val="99"/>
    <w:unhideWhenUsed/>
    <w:qFormat/>
    <w:rsid w:val="00dd1da8"/>
    <w:rPr>
      <w:vertAlign w:val="superscript"/>
    </w:rPr>
  </w:style>
  <w:style w:type="character" w:styleId="EndnoteTextChar" w:customStyle="1">
    <w:name w:val="Endnote Text Char"/>
    <w:uiPriority w:val="99"/>
    <w:qFormat/>
    <w:rsid w:val="00dd1da8"/>
    <w:rPr>
      <w:sz w:val="20"/>
    </w:rPr>
  </w:style>
  <w:style w:type="character" w:styleId="EndnoteCharacters" w:customStyle="1">
    <w:name w:val="Endnote Characters"/>
    <w:uiPriority w:val="99"/>
    <w:semiHidden/>
    <w:unhideWhenUsed/>
    <w:qFormat/>
    <w:rsid w:val="00dd1da8"/>
    <w:rPr>
      <w:vertAlign w:val="superscript"/>
    </w:rPr>
  </w:style>
  <w:style w:type="character" w:styleId="Style5" w:customStyle="1">
    <w:name w:val="Текст выноски Знак"/>
    <w:basedOn w:val="DefaultParagraphFont"/>
    <w:uiPriority w:val="99"/>
    <w:semiHidden/>
    <w:qFormat/>
    <w:rsid w:val="00dd1da8"/>
    <w:rPr>
      <w:rFonts w:ascii="Tahoma" w:hAnsi="Tahoma" w:eastAsia="Times New Roman" w:cs="Tahoma"/>
      <w:sz w:val="16"/>
      <w:szCs w:val="16"/>
      <w:lang w:val="ru-RU"/>
    </w:rPr>
  </w:style>
  <w:style w:type="character" w:styleId="Style6" w:customStyle="1">
    <w:name w:val="Основной текст Знак"/>
    <w:basedOn w:val="DefaultParagraphFont"/>
    <w:uiPriority w:val="1"/>
    <w:qFormat/>
    <w:rsid w:val="00dd1da8"/>
    <w:rPr>
      <w:rFonts w:ascii="Times New Roman" w:hAnsi="Times New Roman"/>
      <w:color w:val="FFFFFF"/>
      <w:sz w:val="28"/>
      <w:szCs w:val="28"/>
      <w:lang w:eastAsia="ru-RU"/>
    </w:rPr>
  </w:style>
  <w:style w:type="character" w:styleId="1" w:customStyle="1">
    <w:name w:val="Заголовок 1 Знак"/>
    <w:basedOn w:val="DefaultParagraphFont"/>
    <w:uiPriority w:val="1"/>
    <w:qFormat/>
    <w:rsid w:val="00dd1da8"/>
    <w:rPr>
      <w:rFonts w:ascii="Times New Roman" w:hAnsi="Times New Roman" w:eastAsia="Times New Roman" w:cs="Times New Roman"/>
      <w:b/>
      <w:bCs/>
      <w:color w:val="FFFFFF"/>
      <w:sz w:val="28"/>
      <w:szCs w:val="28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dd1da8"/>
    <w:rPr>
      <w:rFonts w:ascii="Arial" w:hAnsi="Arial" w:eastAsia="Arial" w:cs="Arial"/>
      <w:color w:val="FFFFFF"/>
      <w:sz w:val="34"/>
      <w:szCs w:val="26"/>
      <w:lang w:eastAsia="ru-RU"/>
    </w:rPr>
  </w:style>
  <w:style w:type="character" w:styleId="3" w:customStyle="1">
    <w:name w:val="Заголовок 3 Знак"/>
    <w:basedOn w:val="DefaultParagraphFont"/>
    <w:uiPriority w:val="9"/>
    <w:qFormat/>
    <w:rsid w:val="00dd1da8"/>
    <w:rPr>
      <w:rFonts w:ascii="Arial" w:hAnsi="Arial" w:eastAsia="Arial" w:cs="Arial"/>
      <w:color w:val="FFFFFF"/>
      <w:sz w:val="30"/>
      <w:szCs w:val="30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dd1da8"/>
    <w:rPr>
      <w:rFonts w:ascii="Arial" w:hAnsi="Arial" w:eastAsia="Arial" w:cs="Arial"/>
      <w:b/>
      <w:bCs/>
      <w:color w:val="FFFFFF"/>
      <w:sz w:val="26"/>
      <w:szCs w:val="26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sid w:val="00dd1da8"/>
    <w:rPr>
      <w:rFonts w:ascii="Arial" w:hAnsi="Arial" w:eastAsia="Arial" w:cs="Arial"/>
      <w:b/>
      <w:bCs/>
      <w:color w:val="FFFFFF"/>
      <w:sz w:val="24"/>
      <w:szCs w:val="24"/>
      <w:lang w:eastAsia="ru-RU"/>
    </w:rPr>
  </w:style>
  <w:style w:type="character" w:styleId="6" w:customStyle="1">
    <w:name w:val="Заголовок 6 Знак"/>
    <w:basedOn w:val="DefaultParagraphFont"/>
    <w:uiPriority w:val="9"/>
    <w:qFormat/>
    <w:rsid w:val="00dd1da8"/>
    <w:rPr>
      <w:rFonts w:ascii="Arial" w:hAnsi="Arial" w:eastAsia="Arial" w:cs="Arial"/>
      <w:b/>
      <w:bCs/>
      <w:color w:val="FFFFFF"/>
      <w:lang w:eastAsia="ru-RU"/>
    </w:rPr>
  </w:style>
  <w:style w:type="character" w:styleId="7" w:customStyle="1">
    <w:name w:val="Заголовок 7 Знак"/>
    <w:basedOn w:val="DefaultParagraphFont"/>
    <w:uiPriority w:val="9"/>
    <w:qFormat/>
    <w:rsid w:val="00dd1da8"/>
    <w:rPr>
      <w:rFonts w:ascii="Arial" w:hAnsi="Arial" w:eastAsia="Arial" w:cs="Arial"/>
      <w:b/>
      <w:bCs/>
      <w:i/>
      <w:iCs/>
      <w:color w:val="FFFFFF"/>
      <w:lang w:eastAsia="ru-RU"/>
    </w:rPr>
  </w:style>
  <w:style w:type="character" w:styleId="8" w:customStyle="1">
    <w:name w:val="Заголовок 8 Знак"/>
    <w:basedOn w:val="DefaultParagraphFont"/>
    <w:uiPriority w:val="9"/>
    <w:qFormat/>
    <w:rsid w:val="00dd1da8"/>
    <w:rPr>
      <w:rFonts w:ascii="Arial" w:hAnsi="Arial" w:eastAsia="Arial" w:cs="Arial"/>
      <w:i/>
      <w:iCs/>
      <w:color w:val="FFFFFF"/>
      <w:lang w:eastAsia="ru-RU"/>
    </w:rPr>
  </w:style>
  <w:style w:type="character" w:styleId="9" w:customStyle="1">
    <w:name w:val="Заголовок 9 Знак"/>
    <w:basedOn w:val="DefaultParagraphFont"/>
    <w:uiPriority w:val="9"/>
    <w:qFormat/>
    <w:rsid w:val="00dd1da8"/>
    <w:rPr>
      <w:rFonts w:ascii="Arial" w:hAnsi="Arial" w:eastAsia="Arial" w:cs="Arial"/>
      <w:i/>
      <w:iCs/>
      <w:color w:val="FFFFFF"/>
      <w:sz w:val="21"/>
      <w:szCs w:val="21"/>
      <w:lang w:eastAsia="ru-RU"/>
    </w:rPr>
  </w:style>
  <w:style w:type="character" w:styleId="Style7" w:customStyle="1">
    <w:name w:val="Название Знак"/>
    <w:basedOn w:val="DefaultParagraphFont"/>
    <w:uiPriority w:val="10"/>
    <w:qFormat/>
    <w:rsid w:val="00dd1da8"/>
    <w:rPr>
      <w:rFonts w:ascii="Times New Roman" w:hAnsi="Times New Roman" w:eastAsia="Times New Roman" w:cs="Times New Roman"/>
      <w:color w:val="FFFFFF"/>
      <w:sz w:val="48"/>
      <w:szCs w:val="48"/>
      <w:lang w:eastAsia="ru-RU"/>
    </w:rPr>
  </w:style>
  <w:style w:type="character" w:styleId="Style8" w:customStyle="1">
    <w:name w:val="Подзаголовок Знак"/>
    <w:basedOn w:val="DefaultParagraphFont"/>
    <w:uiPriority w:val="11"/>
    <w:qFormat/>
    <w:rsid w:val="00dd1da8"/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character" w:styleId="11" w:customStyle="1">
    <w:name w:val="Текст выноски Знак1"/>
    <w:basedOn w:val="DefaultParagraphFont"/>
    <w:link w:val="BalloonText"/>
    <w:uiPriority w:val="99"/>
    <w:semiHidden/>
    <w:qFormat/>
    <w:rsid w:val="00dd1da8"/>
    <w:rPr>
      <w:rFonts w:ascii="Tahoma" w:hAnsi="Tahoma" w:eastAsia="Times New Roman" w:cs="Tahoma"/>
      <w:color w:val="FFFFFF"/>
      <w:sz w:val="16"/>
      <w:szCs w:val="16"/>
      <w:lang w:eastAsia="ru-RU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d1da8"/>
    <w:rPr>
      <w:rFonts w:ascii="Times New Roman" w:hAnsi="Times New Roman" w:eastAsia="Times New Roman" w:cs="Times New Roman"/>
      <w:i/>
      <w:color w:val="FFFFFF"/>
      <w:sz w:val="26"/>
      <w:szCs w:val="26"/>
      <w:lang w:eastAsia="ru-RU"/>
    </w:rPr>
  </w:style>
  <w:style w:type="character" w:styleId="Style9" w:customStyle="1">
    <w:name w:val="Выделенная цитата Знак"/>
    <w:basedOn w:val="DefaultParagraphFont"/>
    <w:link w:val="IntenseQuote"/>
    <w:uiPriority w:val="30"/>
    <w:qFormat/>
    <w:rsid w:val="00dd1da8"/>
    <w:rPr>
      <w:rFonts w:ascii="Times New Roman" w:hAnsi="Times New Roman" w:eastAsia="Times New Roman" w:cs="Times New Roman"/>
      <w:i/>
      <w:color w:val="FFFFFF"/>
      <w:sz w:val="26"/>
      <w:szCs w:val="26"/>
      <w:shd w:fill="F2F2F2" w:val="clear"/>
      <w:lang w:eastAsia="ru-RU"/>
    </w:rPr>
  </w:style>
  <w:style w:type="paragraph" w:styleId="Style10" w:customStyle="1">
    <w:name w:val="Заголовок"/>
    <w:basedOn w:val="Normal"/>
    <w:next w:val="BodyText"/>
    <w:qFormat/>
    <w:rsid w:val="00dd1da8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6"/>
    <w:uiPriority w:val="1"/>
    <w:qFormat/>
    <w:rsid w:val="00dd1da8"/>
    <w:pPr>
      <w:ind w:firstLine="707" w:left="113"/>
    </w:pPr>
    <w:rPr>
      <w:sz w:val="28"/>
      <w:szCs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Style12" w:customStyle="1">
    <w:name w:val="Верхний и нижний колонтитулы"/>
    <w:basedOn w:val="Normal"/>
    <w:qFormat/>
    <w:rsid w:val="00dd1da8"/>
    <w:pPr/>
    <w:rPr>
      <w:rFonts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dd1da8"/>
    <w:pPr/>
    <w:rPr>
      <w:rFonts w:eastAsia="Times New Roman" w:cs="Times New Roman"/>
    </w:rPr>
  </w:style>
  <w:style w:type="paragraph" w:styleId="Style13" w:customStyle="1">
    <w:name w:val="Содержимое врезки"/>
    <w:basedOn w:val="Normal"/>
    <w:qFormat/>
    <w:rsid w:val="00dd1da8"/>
    <w:pPr/>
    <w:rPr>
      <w:rFonts w:eastAsia="Times New Roman" w:cs="Times New Roman"/>
    </w:rPr>
  </w:style>
  <w:style w:type="paragraph" w:styleId="TOC1">
    <w:name w:val="TOC 1"/>
    <w:basedOn w:val="Normal"/>
    <w:uiPriority w:val="1"/>
    <w:qFormat/>
    <w:rsid w:val="00dd1da8"/>
    <w:pPr>
      <w:spacing w:before="119" w:after="0"/>
      <w:ind w:left="113"/>
    </w:pPr>
    <w:rPr>
      <w:rFonts w:eastAsia="Times New Roman" w:cs="Times New Roman"/>
      <w:sz w:val="28"/>
      <w:szCs w:val="28"/>
    </w:rPr>
  </w:style>
  <w:style w:type="paragraph" w:styleId="TOC2">
    <w:name w:val="TOC 2"/>
    <w:basedOn w:val="Normal"/>
    <w:uiPriority w:val="1"/>
    <w:qFormat/>
    <w:rsid w:val="00dd1da8"/>
    <w:pPr>
      <w:ind w:hanging="481" w:left="833"/>
    </w:pPr>
    <w:rPr>
      <w:rFonts w:eastAsia="Times New Roman" w:cs="Times New Roman"/>
    </w:rPr>
  </w:style>
  <w:style w:type="paragraph" w:styleId="TOC3">
    <w:name w:val="TOC 3"/>
    <w:basedOn w:val="Normal"/>
    <w:uiPriority w:val="1"/>
    <w:qFormat/>
    <w:rsid w:val="00dd1da8"/>
    <w:pPr>
      <w:ind w:hanging="720" w:left="1313"/>
    </w:pPr>
    <w:rPr>
      <w:rFonts w:eastAsia="Times New Roman" w:cs="Times New Roman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1c4b80"/>
    <w:pPr>
      <w:ind w:hanging="260" w:left="260"/>
    </w:pPr>
    <w:rPr/>
  </w:style>
  <w:style w:type="paragraph" w:styleId="Indexheading1">
    <w:name w:val="index heading1"/>
    <w:basedOn w:val="Normal"/>
    <w:qFormat/>
    <w:rsid w:val="00dd1da8"/>
    <w:pPr>
      <w:suppressLineNumbers/>
    </w:pPr>
    <w:rPr>
      <w:rFonts w:eastAsia="Times New Roman" w:cs="Lohit Devanagari"/>
    </w:rPr>
  </w:style>
  <w:style w:type="paragraph" w:styleId="Caption1">
    <w:name w:val="caption1"/>
    <w:basedOn w:val="Normal"/>
    <w:uiPriority w:val="35"/>
    <w:semiHidden/>
    <w:unhideWhenUsed/>
    <w:qFormat/>
    <w:rsid w:val="00dd1da8"/>
    <w:pPr>
      <w:spacing w:lineRule="auto" w:line="276"/>
    </w:pPr>
    <w:rPr>
      <w:rFonts w:eastAsia="Times New Roman" w:cs="Times New Roman"/>
      <w:b/>
      <w:bCs/>
      <w:color w:themeColor="accent1" w:val="4F81BD"/>
      <w:sz w:val="18"/>
      <w:szCs w:val="18"/>
    </w:rPr>
  </w:style>
  <w:style w:type="paragraph" w:styleId="TableofFigures">
    <w:name w:val="Table of Figures"/>
    <w:basedOn w:val="Normal"/>
    <w:uiPriority w:val="99"/>
    <w:unhideWhenUsed/>
    <w:qFormat/>
    <w:rsid w:val="00dd1da8"/>
    <w:pPr/>
    <w:rPr>
      <w:rFonts w:eastAsia="Times New Roman" w:cs="Times New Roman"/>
    </w:rPr>
  </w:style>
  <w:style w:type="paragraph" w:styleId="Title">
    <w:name w:val="Title"/>
    <w:basedOn w:val="Normal"/>
    <w:link w:val="Style7"/>
    <w:uiPriority w:val="10"/>
    <w:qFormat/>
    <w:rsid w:val="00dd1da8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paragraph" w:styleId="Subtitle">
    <w:name w:val="Subtitle"/>
    <w:basedOn w:val="Normal"/>
    <w:link w:val="Style8"/>
    <w:uiPriority w:val="11"/>
    <w:qFormat/>
    <w:rsid w:val="00dd1da8"/>
    <w:pPr>
      <w:spacing w:before="200" w:after="200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11"/>
    <w:uiPriority w:val="99"/>
    <w:semiHidden/>
    <w:unhideWhenUsed/>
    <w:qFormat/>
    <w:rsid w:val="00dd1da8"/>
    <w:pPr/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dd1da8"/>
    <w:pPr>
      <w:widowControl w:val="false"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6"/>
      <w:szCs w:val="26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dd1da8"/>
    <w:pPr>
      <w:ind w:hanging="481" w:left="1531"/>
    </w:pPr>
    <w:rPr>
      <w:rFonts w:eastAsia="Times New Roman" w:cs="Times New Roman"/>
    </w:rPr>
  </w:style>
  <w:style w:type="paragraph" w:styleId="Quote">
    <w:name w:val="Quote"/>
    <w:basedOn w:val="Normal"/>
    <w:link w:val="21"/>
    <w:uiPriority w:val="29"/>
    <w:qFormat/>
    <w:rsid w:val="00dd1da8"/>
    <w:pPr>
      <w:ind w:left="720" w:right="720"/>
    </w:pPr>
    <w:rPr>
      <w:rFonts w:eastAsia="Times New Roman" w:cs="Times New Roman"/>
      <w:i/>
    </w:rPr>
  </w:style>
  <w:style w:type="paragraph" w:styleId="IntenseQuote">
    <w:name w:val="Intense Quote"/>
    <w:basedOn w:val="Normal"/>
    <w:link w:val="Style9"/>
    <w:uiPriority w:val="30"/>
    <w:qFormat/>
    <w:rsid w:val="00dd1d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Times New Roman" w:cs="Times New Roman"/>
      <w:i/>
    </w:rPr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rsid w:val="00dd1da8"/>
    <w:pPr>
      <w:widowControl w:val="false"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6"/>
      <w:szCs w:val="26"/>
      <w:lang w:val="ru-RU" w:eastAsia="en-US" w:bidi="ar-SA"/>
    </w:rPr>
  </w:style>
  <w:style w:type="paragraph" w:styleId="Style14" w:customStyle="1">
    <w:name w:val="Нормальный (таблица)"/>
    <w:basedOn w:val="Normal"/>
    <w:next w:val="Normal"/>
    <w:uiPriority w:val="99"/>
    <w:qFormat/>
    <w:rsid w:val="006304ed"/>
    <w:pPr>
      <w:widowControl w:val="false"/>
      <w:jc w:val="both"/>
    </w:pPr>
    <w:rPr>
      <w:rFonts w:ascii="Times New Roman CYR" w:hAnsi="Times New Roman CYR" w:eastAsia="Arial" w:cs="Times New Roman CYR" w:eastAsiaTheme="minorEastAsia"/>
      <w:sz w:val="24"/>
      <w:szCs w:val="24"/>
      <w:lang w:eastAsia="ru-RU"/>
    </w:rPr>
  </w:style>
  <w:style w:type="paragraph" w:styleId="Style15" w:customStyle="1">
    <w:name w:val="Прижатый влево"/>
    <w:basedOn w:val="Normal"/>
    <w:next w:val="Normal"/>
    <w:uiPriority w:val="99"/>
    <w:qFormat/>
    <w:rsid w:val="006304ed"/>
    <w:pPr>
      <w:widowControl w:val="false"/>
    </w:pPr>
    <w:rPr>
      <w:rFonts w:ascii="Times New Roman CYR" w:hAnsi="Times New Roman CYR" w:eastAsia="Arial" w:cs="Times New Roman CYR" w:eastAsiaTheme="minorEastAsia"/>
      <w:sz w:val="24"/>
      <w:szCs w:val="24"/>
      <w:lang w:eastAsia="ru-RU"/>
    </w:rPr>
  </w:style>
  <w:style w:type="paragraph" w:styleId="ConsPlusNormal" w:customStyle="1">
    <w:name w:val="ConsPlusNormal"/>
    <w:qFormat/>
    <w:rsid w:val="003a128e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43c2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113689"/>
    <w:pPr>
      <w:widowControl w:val="false"/>
      <w:bidi w:val="0"/>
      <w:spacing w:before="0" w:after="0"/>
      <w:jc w:val="left"/>
    </w:pPr>
    <w:rPr>
      <w:rFonts w:ascii="Arial" w:hAnsi="Arial" w:eastAsia="Arial" w:cs="Arial" w:eastAsiaTheme="minorEastAsia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8BC0-6300-45EA-98C2-06927724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LibreOffice/7.6.7.2$Linux_X86_64 LibreOffice_project/60$Build-2</Application>
  <AppVersion>15.0000</AppVersion>
  <Pages>9</Pages>
  <Words>1725</Words>
  <Characters>12264</Characters>
  <CharactersWithSpaces>13831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2025-05-16T12:22:00Z</dcterms:created>
  <dc:creator>chev</dc:creator>
  <dc:description/>
  <dc:language>ru-RU</dc:language>
  <cp:lastModifiedBy>User</cp:lastModifiedBy>
  <cp:lastPrinted>2025-05-19T12:46:00Z</cp:lastPrinted>
  <dcterms:modified xsi:type="dcterms:W3CDTF">2025-05-20T08:46:00Z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