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86"/>
        <w:jc w:val="left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Приложение № 1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43" w:firstLine="5386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 постановлению главного управления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386"/>
        <w:jc w:val="left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архитектуры и градостроительства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386"/>
        <w:jc w:val="left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Рязанской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386"/>
        <w:jc w:val="left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от 09 июня 2025 г № 455-п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0"/>
      </w:pPr>
      <w:r/>
      <w:r/>
    </w:p>
    <w:p>
      <w:pPr>
        <w:ind w:left="-284" w:firstLine="0"/>
        <w:spacing w:after="0" w:afterAutospacing="0"/>
      </w:pPr>
      <w:r>
        <w:t xml:space="preserve">«</w:t>
      </w:r>
      <w:r/>
    </w:p>
    <w:tbl>
      <w:tblPr>
        <w:tblW w:w="9921" w:type="dxa"/>
        <w:tblInd w:w="-289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5747"/>
        <w:gridCol w:w="1759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widowControl w:val="off"/>
            </w:pPr>
            <w:r>
              <w:rPr>
                <w:color w:val="000000"/>
              </w:rP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4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widowControl w:val="off"/>
            </w:pPr>
            <w:r>
              <w:rPr>
                <w:color w:val="000000"/>
              </w:rPr>
              <w:t xml:space="preserve">Наименование вида</w:t>
            </w:r>
            <w:r/>
          </w:p>
          <w:p>
            <w:pPr>
              <w:pStyle w:val="836"/>
              <w:jc w:val="center"/>
              <w:widowControl w:val="off"/>
            </w:pPr>
            <w:r>
              <w:rPr>
                <w:color w:val="000000"/>
              </w:rP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Код вида разрешенного использования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15" w:type="dxa"/>
            <w:vMerge w:val="restart"/>
            <w:textDirection w:val="lrTb"/>
            <w:noWrap w:val="false"/>
          </w:tcPr>
          <w:p>
            <w:pPr>
              <w:pStyle w:val="836"/>
              <w:widowControl w:val="off"/>
            </w:pPr>
            <w:r>
              <w:t xml:space="preserve">Основные 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47" w:type="dxa"/>
            <w:textDirection w:val="lrTb"/>
            <w:noWrap w:val="false"/>
          </w:tcPr>
          <w:p>
            <w:pPr>
              <w:pStyle w:val="836"/>
              <w:widowControl w:val="off"/>
            </w:pPr>
            <w:r>
              <w:rPr>
                <w:rFonts w:eastAsiaTheme="minorHAnsi"/>
                <w:lang w:eastAsia="en-US"/>
              </w:rPr>
              <w:t xml:space="preserve">для индивидуального жилищного строительства</w:t>
            </w:r>
            <w:r>
              <w:rPr>
                <w:rFonts w:eastAsiaTheme="minorHAnsi"/>
                <w:lang w:eastAsia="en-US"/>
              </w:rPr>
              <w:t xml:space="preserve">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jc w:val="center"/>
              <w:widowControl w:val="off"/>
            </w:pPr>
            <w:r>
              <w:t xml:space="preserve">2.1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415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47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малоэтажная многоквартирная жилая застройка</w:t>
            </w:r>
            <w:r>
              <w:rPr>
                <w:rFonts w:eastAsiaTheme="minorHAnsi"/>
                <w:lang w:eastAsia="en-US"/>
              </w:rPr>
              <w:t xml:space="preserve">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jc w:val="center"/>
              <w:widowControl w:val="off"/>
            </w:pPr>
            <w:r>
              <w:t xml:space="preserve">2.1.1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415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47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для ведения личного подсобного хозяйства (приусадебный земельный участок)</w:t>
            </w:r>
            <w:r>
              <w:rPr>
                <w:rFonts w:eastAsiaTheme="minorHAnsi"/>
                <w:lang w:eastAsia="en-US"/>
              </w:rPr>
              <w:t xml:space="preserve">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jc w:val="center"/>
              <w:widowControl w:val="off"/>
            </w:pPr>
            <w:r>
              <w:t xml:space="preserve">2.2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415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47" w:type="dxa"/>
            <w:textDirection w:val="lrTb"/>
            <w:noWrap w:val="false"/>
          </w:tcPr>
          <w:p>
            <w:pPr>
              <w:pStyle w:val="836"/>
              <w:spacing w:line="227" w:lineRule="exact"/>
              <w:widowControl w:val="off"/>
            </w:pPr>
            <w:r>
              <w:rPr>
                <w:rFonts w:eastAsiaTheme="minorHAnsi"/>
                <w:lang w:eastAsia="en-US"/>
              </w:rPr>
              <w:t xml:space="preserve">блокированная жилая застройка</w:t>
            </w:r>
            <w:r>
              <w:rPr>
                <w:rFonts w:eastAsiaTheme="minorHAnsi"/>
                <w:lang w:eastAsia="en-US"/>
              </w:rPr>
              <w:t xml:space="preserve">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jc w:val="center"/>
              <w:spacing w:line="227" w:lineRule="exact"/>
              <w:widowControl w:val="off"/>
            </w:pPr>
            <w:r>
              <w:t xml:space="preserve">2.3</w:t>
            </w:r>
            <w:r/>
          </w:p>
        </w:tc>
      </w:tr>
      <w:tr>
        <w:tblPrEx/>
        <w:trPr>
          <w:trHeight w:val="271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415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47" w:type="dxa"/>
            <w:textDirection w:val="lrTb"/>
            <w:noWrap w:val="false"/>
          </w:tcPr>
          <w:p>
            <w:pPr>
              <w:ind w:firstLine="0"/>
              <w:jc w:val="left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 w:eastAsiaTheme="minorHAnsi"/>
                <w:lang w:eastAsia="en-US"/>
              </w:rPr>
              <w:t xml:space="preserve">обслуживание жилой застройки</w:t>
            </w:r>
            <w:r>
              <w:rPr>
                <w:rFonts w:ascii="Times New Roman" w:hAnsi="Times New Roman" w:eastAsia="Times New Roman" w:cs="Times New Roman" w:eastAsiaTheme="minorHAnsi"/>
                <w:lang w:eastAsia="en-US"/>
              </w:rPr>
              <w:t xml:space="preserve">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jc w:val="center"/>
              <w:spacing w:line="227" w:lineRule="exact"/>
              <w:widowControl w:val="off"/>
            </w:pPr>
            <w:r>
              <w:t xml:space="preserve">2.7</w:t>
            </w:r>
            <w:r/>
          </w:p>
        </w:tc>
      </w:tr>
      <w:tr>
        <w:tblPrEx/>
        <w:trPr>
          <w:trHeight w:val="196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415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47" w:type="dxa"/>
            <w:textDirection w:val="lrTb"/>
            <w:noWrap w:val="false"/>
          </w:tcPr>
          <w:p>
            <w:pPr>
              <w:ind w:firstLine="0"/>
              <w:jc w:val="left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 w:eastAsiaTheme="minorHAnsi"/>
                <w:lang w:eastAsia="en-US"/>
              </w:rPr>
              <w:t xml:space="preserve">хранение автотранспорта</w:t>
            </w:r>
            <w:r>
              <w:rPr>
                <w:rFonts w:ascii="Times New Roman" w:hAnsi="Times New Roman" w:eastAsia="Times New Roman" w:cs="Times New Roman" w:eastAsiaTheme="minorHAnsi"/>
                <w:lang w:eastAsia="en-US"/>
              </w:rPr>
              <w:t xml:space="preserve">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jc w:val="center"/>
              <w:spacing w:line="227" w:lineRule="exact"/>
              <w:widowControl w:val="off"/>
            </w:pPr>
            <w:r>
              <w:t xml:space="preserve">2.7.1</w:t>
            </w:r>
            <w:r/>
          </w:p>
        </w:tc>
      </w:tr>
      <w:tr>
        <w:tblPrEx/>
        <w:trPr>
          <w:trHeight w:val="12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415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47" w:type="dxa"/>
            <w:textDirection w:val="lrTb"/>
            <w:noWrap w:val="false"/>
          </w:tcPr>
          <w:p>
            <w:pPr>
              <w:ind w:firstLine="0"/>
              <w:jc w:val="left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 w:eastAsiaTheme="minorHAnsi"/>
                <w:lang w:eastAsia="en-US"/>
              </w:rPr>
              <w:t xml:space="preserve">историко-культурная деятельность</w:t>
            </w:r>
            <w:r>
              <w:rPr>
                <w:rFonts w:ascii="Times New Roman" w:hAnsi="Times New Roman" w:eastAsia="Times New Roman" w:cs="Times New Roman" w:eastAsiaTheme="minorHAnsi"/>
                <w:lang w:eastAsia="en-US"/>
              </w:rPr>
              <w:t xml:space="preserve">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jc w:val="center"/>
              <w:widowControl w:val="off"/>
            </w:pPr>
            <w:r>
              <w:t xml:space="preserve">9.3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415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47" w:type="dxa"/>
            <w:textDirection w:val="lrTb"/>
            <w:noWrap w:val="false"/>
          </w:tcPr>
          <w:p>
            <w:pPr>
              <w:pStyle w:val="836"/>
              <w:widowControl w:val="off"/>
            </w:pPr>
            <w:r>
              <w:rPr>
                <w:rFonts w:eastAsiaTheme="minorHAnsi"/>
                <w:lang w:eastAsia="en-US"/>
              </w:rPr>
              <w:t xml:space="preserve">земельные участки (территории) общего пользования</w:t>
            </w:r>
            <w:r>
              <w:rPr>
                <w:rFonts w:eastAsiaTheme="minorHAnsi"/>
                <w:lang w:eastAsia="en-US"/>
              </w:rPr>
              <w:t xml:space="preserve">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jc w:val="center"/>
              <w:widowControl w:val="off"/>
            </w:pPr>
            <w:r>
              <w:t xml:space="preserve">12.0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415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47" w:type="dxa"/>
            <w:textDirection w:val="lrTb"/>
            <w:noWrap w:val="false"/>
          </w:tcPr>
          <w:p>
            <w:pPr>
              <w:pStyle w:val="836"/>
              <w:widowControl w:val="off"/>
            </w:pPr>
            <w:r>
              <w:rPr>
                <w:rFonts w:eastAsiaTheme="minorHAnsi"/>
                <w:lang w:eastAsia="en-US"/>
              </w:rPr>
              <w:t xml:space="preserve">ведение огородничества</w:t>
            </w:r>
            <w:r>
              <w:rPr>
                <w:rFonts w:eastAsiaTheme="minorHAnsi"/>
                <w:lang w:eastAsia="en-US"/>
              </w:rPr>
              <w:t xml:space="preserve">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jc w:val="center"/>
              <w:widowControl w:val="off"/>
            </w:pPr>
            <w:r>
              <w:t xml:space="preserve">13.1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415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47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ведение садоводства</w:t>
            </w:r>
            <w:r>
              <w:rPr>
                <w:rFonts w:eastAsiaTheme="minorHAnsi"/>
                <w:lang w:eastAsia="en-US"/>
              </w:rPr>
              <w:t xml:space="preserve">.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jc w:val="center"/>
              <w:widowControl w:val="off"/>
            </w:pPr>
            <w:r>
              <w:t xml:space="preserve">13.2</w:t>
            </w:r>
            <w:r/>
          </w:p>
        </w:tc>
      </w:tr>
      <w:tr>
        <w:tblPrEx/>
        <w:trPr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2415" w:type="dxa"/>
            <w:vMerge w:val="restart"/>
            <w:textDirection w:val="lrTb"/>
            <w:noWrap w:val="false"/>
          </w:tcPr>
          <w:p>
            <w:pPr>
              <w:pStyle w:val="836"/>
              <w:widowControl w:val="off"/>
            </w:pPr>
            <w:r>
              <w:t xml:space="preserve">Условно разрешенные виды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47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среднее и высшее профессиональное образование</w:t>
            </w:r>
            <w:r>
              <w:rPr>
                <w:rFonts w:eastAsiaTheme="minorHAnsi"/>
                <w:lang w:eastAsia="en-US"/>
              </w:rPr>
              <w:t xml:space="preserve">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3.5.2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415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47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общественное управление</w:t>
            </w:r>
            <w:r>
              <w:rPr>
                <w:rFonts w:eastAsiaTheme="minorHAnsi"/>
                <w:lang w:eastAsia="en-US"/>
              </w:rPr>
              <w:t xml:space="preserve">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3.8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415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47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банковская и страховая деятельность</w:t>
            </w:r>
            <w:r>
              <w:rPr>
                <w:rFonts w:eastAsiaTheme="minorHAnsi"/>
                <w:lang w:eastAsia="en-US"/>
              </w:rPr>
              <w:t xml:space="preserve">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4.5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415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47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гостиничное обслуживание</w:t>
            </w:r>
            <w:r>
              <w:rPr>
                <w:rFonts w:eastAsiaTheme="minorHAnsi"/>
                <w:lang w:eastAsia="en-US"/>
              </w:rPr>
              <w:t xml:space="preserve">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4.7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415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47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служебные гаражи</w:t>
            </w:r>
            <w:r>
              <w:rPr>
                <w:rFonts w:eastAsiaTheme="minorHAnsi"/>
                <w:lang w:eastAsia="en-US"/>
              </w:rPr>
              <w:t xml:space="preserve">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4.9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415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47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обеспечение спортивно-зрелищных мероприятий</w:t>
            </w:r>
            <w:r>
              <w:rPr>
                <w:rFonts w:eastAsiaTheme="minorHAnsi"/>
                <w:lang w:eastAsia="en-US"/>
              </w:rPr>
              <w:t xml:space="preserve">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t xml:space="preserve">5.1.1</w:t>
            </w:r>
            <w:r/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415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47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оборудованные площадки для занятий спортом</w:t>
            </w:r>
            <w:r>
              <w:rPr>
                <w:rFonts w:eastAsiaTheme="minorHAnsi"/>
                <w:lang w:eastAsia="en-US"/>
              </w:rPr>
              <w:t xml:space="preserve">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t xml:space="preserve">5.1.4</w:t>
            </w:r>
            <w:r/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415" w:type="dxa"/>
            <w:vMerge w:val="continue"/>
            <w:textDirection w:val="lrTb"/>
            <w:noWrap w:val="false"/>
          </w:tcPr>
          <w:p>
            <w:pPr>
              <w:pStyle w:val="836"/>
              <w:ind w:left="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47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водный спорт</w:t>
            </w:r>
            <w:r>
              <w:rPr>
                <w:rFonts w:eastAsiaTheme="minorHAnsi"/>
                <w:lang w:eastAsia="en-US"/>
              </w:rPr>
              <w:t xml:space="preserve">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t xml:space="preserve">5.1.5</w:t>
            </w:r>
            <w:r/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415" w:type="dxa"/>
            <w:vMerge w:val="continue"/>
            <w:textDirection w:val="lrTb"/>
            <w:noWrap w:val="false"/>
          </w:tcPr>
          <w:p>
            <w:pPr>
              <w:pStyle w:val="836"/>
              <w:ind w:left="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47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авиационный спорт</w:t>
            </w:r>
            <w:r>
              <w:rPr>
                <w:rFonts w:eastAsiaTheme="minorHAnsi"/>
                <w:lang w:eastAsia="en-US"/>
              </w:rPr>
              <w:t xml:space="preserve">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t xml:space="preserve">5.1.6</w:t>
            </w:r>
            <w:r/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415" w:type="dxa"/>
            <w:vMerge w:val="continue"/>
            <w:textDirection w:val="lrTb"/>
            <w:noWrap w:val="false"/>
          </w:tcPr>
          <w:p>
            <w:pPr>
              <w:pStyle w:val="836"/>
              <w:ind w:left="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47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спортивные базы</w:t>
            </w:r>
            <w:r>
              <w:rPr>
                <w:rFonts w:eastAsiaTheme="minorHAnsi"/>
                <w:lang w:eastAsia="en-US"/>
              </w:rPr>
              <w:t xml:space="preserve">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t xml:space="preserve">5.1.7</w:t>
            </w:r>
            <w:r/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415" w:type="dxa"/>
            <w:vMerge w:val="continue"/>
            <w:textDirection w:val="lrTb"/>
            <w:noWrap w:val="false"/>
          </w:tcPr>
          <w:p>
            <w:pPr>
              <w:pStyle w:val="836"/>
              <w:ind w:left="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47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cs="Times New Roman"/>
              </w:rPr>
            </w:pPr>
            <w:r>
              <w:rPr>
                <w:rFonts w:eastAsiaTheme="minorHAnsi"/>
                <w:lang w:eastAsia="en-US"/>
              </w:rPr>
              <w:t xml:space="preserve">связь</w:t>
            </w:r>
            <w:r>
              <w:rPr>
                <w:rFonts w:eastAsiaTheme="minorHAnsi"/>
                <w:lang w:eastAsia="en-US"/>
              </w:rPr>
              <w:t xml:space="preserve">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t xml:space="preserve">6.8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15" w:type="dxa"/>
            <w:textDirection w:val="lrTb"/>
            <w:noWrap w:val="false"/>
          </w:tcPr>
          <w:p>
            <w:pPr>
              <w:pStyle w:val="836"/>
              <w:widowControl w:val="off"/>
            </w:pPr>
            <w:r>
              <w:t xml:space="preserve">Вспомогательные</w:t>
            </w:r>
            <w:r/>
          </w:p>
          <w:p>
            <w:pPr>
              <w:pStyle w:val="836"/>
              <w:widowControl w:val="off"/>
            </w:pPr>
            <w:r>
              <w:t xml:space="preserve">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47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не подлежат установлению.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-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</w:tbl>
    <w:p>
      <w:pPr>
        <w:ind w:left="7788" w:right="0" w:firstLine="708"/>
      </w:pPr>
      <w:r>
        <w:t xml:space="preserve">            »</w:t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link w:val="684"/>
    <w:uiPriority w:val="35"/>
    <w:rPr>
      <w:b/>
      <w:bCs/>
      <w:color w:val="4f81bd" w:themeColor="accent1"/>
      <w:sz w:val="18"/>
      <w:szCs w:val="18"/>
    </w:rPr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Содержимое таблицы"/>
    <w:basedOn w:val="830"/>
    <w:qFormat/>
    <w:pPr>
      <w:contextualSpacing w:val="0"/>
      <w:ind w:left="28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Times New Roman" w:hAnsi="Times New Roman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2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sek</cp:lastModifiedBy>
  <cp:revision>4</cp:revision>
  <dcterms:modified xsi:type="dcterms:W3CDTF">2025-06-09T14:20:50Z</dcterms:modified>
</cp:coreProperties>
</file>