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1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/>
      <w:r/>
    </w:p>
    <w:p>
      <w:pPr>
        <w:ind w:firstLine="0"/>
        <w:jc w:val="left"/>
        <w:spacing w:line="283" w:lineRule="atLeast"/>
      </w:pPr>
      <w:r>
        <w:rPr>
          <w:rFonts w:eastAsia="Times New Roman"/>
          <w:highlight w:val="none"/>
        </w:rPr>
        <w:t xml:space="preserve">«</w:t>
      </w:r>
      <w:r>
        <w:rPr>
          <w:rFonts w:eastAsia="Times New Roman"/>
          <w:highlight w:val="none"/>
        </w:rPr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</w:pPr>
            <w:r>
              <w:rPr>
                <w:rFonts w:eastAsiaTheme="minorHAnsi"/>
                <w:lang w:eastAsia="en-US"/>
              </w:rPr>
              <w:t xml:space="preserve">для ведения личного подсобного хозяйства (приусадебный земельный участок);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t xml:space="preserve">2.2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rPr>
                <w:rFonts w:eastAsiaTheme="minorHAnsi"/>
                <w:lang w:eastAsia="en-US"/>
              </w:rPr>
              <w:t xml:space="preserve">блокированная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t xml:space="preserve">2.3</w:t>
            </w:r>
            <w:r/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spacing w:line="227" w:lineRule="exact"/>
              <w:widowControl w:val="off"/>
            </w:pPr>
            <w:r>
              <w:t xml:space="preserve">п</w:t>
            </w:r>
            <w:r>
              <w:t xml:space="preserve">лощадки для занятий спортом</w:t>
            </w:r>
            <w: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spacing w:line="227" w:lineRule="exact"/>
              <w:widowControl w:val="off"/>
            </w:pPr>
            <w:r>
              <w:t xml:space="preserve">5.1.3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rPr>
                <w:rFonts w:eastAsiaTheme="minorHAnsi"/>
                <w:lang w:eastAsia="en-US"/>
              </w:rP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коммунальное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бытовое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3.3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94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объекты культурно-досуговой деятельности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3.6.1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дошкольное, начальное и среднее общее образование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3.5.1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ветеринарное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3.10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ind w:left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магазины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4.4</w:t>
            </w:r>
            <w:r/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обеспечение занятий спортом в помещениях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5.1.2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  <w:bottom w:val="single" w:color="auto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обеспечение внутреннего правопорядка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8.3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ind w:left="-567"/>
      </w:pPr>
      <w:r>
        <w:tab/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18</cp:revision>
  <dcterms:created xsi:type="dcterms:W3CDTF">2025-03-04T08:01:00Z</dcterms:created>
  <dcterms:modified xsi:type="dcterms:W3CDTF">2025-06-11T07:55:03Z</dcterms:modified>
</cp:coreProperties>
</file>