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13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24 июня 2025 г.  № 510-п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Статья 88. Зоны, занятые кладбищами, крематориями, скотомогильниками, мемориальными парками (зоны СН-2)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eastAsia="zh-CN" w:bidi="ar-SA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СН-2 выделены для обеспечения правовых условий использования территорий, занятых кладбищами, крематориями, скотомогил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ьниками, мемориальными парками.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ind w:left="-425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Зоны, занятые кладбищами, крематориями, скотомогильниками, мемориальными парками (зоны СН-2)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25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4110"/>
        <w:gridCol w:w="24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after="0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ритуальная деятельность.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12.1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3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836"/>
        <w:jc w:val="right"/>
      </w:pPr>
      <w:r/>
      <w:r/>
    </w:p>
    <w:p>
      <w:pPr>
        <w:ind w:left="-425" w:right="-283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параметры разрешенного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ельства, реконструкции 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Зоны, занятые кладбищами, крематориями, скотомогильниками, мемориальными парками (зоны СН-2)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 представлены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таблице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26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6"/>
        <w:spacing w:line="240" w:lineRule="auto"/>
      </w:pPr>
      <w:r/>
      <w:r/>
    </w:p>
    <w:p>
      <w:pPr>
        <w:pStyle w:val="836"/>
        <w:jc w:val="right"/>
        <w:spacing w:line="240" w:lineRule="auto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26</w:t>
      </w: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1134"/>
        <w:gridCol w:w="1134"/>
        <w:gridCol w:w="1134"/>
        <w:gridCol w:w="1417"/>
        <w:gridCol w:w="1701"/>
        <w:gridCol w:w="1417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решен</w:t>
            </w:r>
            <w:r>
              <w:t xml:space="preserve">ного</w:t>
            </w:r>
            <w:r>
              <w:t xml:space="preserve"> </w:t>
            </w:r>
            <w:r>
              <w:t xml:space="preserve">исполь-зования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837"/>
              <w:ind w:left="0"/>
              <w:jc w:val="center"/>
              <w:spacing w:before="0" w:after="0"/>
            </w:pPr>
            <w:r>
              <w:t xml:space="preserve"> 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Минималь</w:t>
            </w: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ный</w:t>
            </w:r>
            <w:r>
              <w:rPr>
                <w:color w:val="auto"/>
              </w:rPr>
              <w:t xml:space="preserve"> отступ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Максималь-ный</w:t>
            </w:r>
            <w:r>
              <w:rPr>
                <w:color w:val="auto"/>
              </w:rPr>
              <w:t xml:space="preserve"> процент застройки в границах земельного участка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837"/>
              <w:ind w:left="-28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color w:val="auto"/>
              </w:rPr>
            </w:pPr>
            <w:r>
              <w:t xml:space="preserve">1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7"/>
              <w:ind w:left="0"/>
              <w:jc w:val="center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spacing w:before="0" w:after="0" w:line="283" w:lineRule="atLeast"/>
        <w:rPr>
          <w:color w:val="auto"/>
          <w:sz w:val="28"/>
        </w:rPr>
      </w:pP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ind w:left="-283" w:right="-141" w:firstLine="283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pPr>
      <w:contextualSpacing w:val="0"/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7" w:customStyle="1">
    <w:name w:val="Содержимое таблицы"/>
    <w:qFormat/>
    <w:pPr>
      <w:contextualSpacing w:val="0"/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hi-IN"/>
      <w14:ligatures w14:val="none"/>
    </w:rPr>
  </w:style>
  <w:style w:type="paragraph" w:styleId="838" w:customStyle="1">
    <w:name w:val="Обычная таблица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4</cp:revision>
  <dcterms:modified xsi:type="dcterms:W3CDTF">2025-06-25T11:32:26Z</dcterms:modified>
</cp:coreProperties>
</file>