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17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>
          <w:trHeight w:val="307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предоставление коммунальных услуг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3.1.1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2025-06-11T06:12:56Z</dcterms:modified>
</cp:coreProperties>
</file>