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4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0"/>
      </w:pPr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дошкольное, начальное и среднее общее образование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3.5.1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объекты культурно-досуговой деятельности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3.6.1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занятий спортом в помещениях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5.1.2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/>
              </w:rPr>
            </w:pPr>
            <w:r>
              <w:rPr>
                <w:rFonts w:eastAsiaTheme="minorHAnsi"/>
                <w:lang w:eastAsia="en-US"/>
              </w:rPr>
              <w:t xml:space="preserve">площадки для занятий спортом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5.1.3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дома социального обслуживания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3.2.1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оказание услуг связи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3.2.3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бытовое обслуживание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амбулаторно-поликлиническое обслуживание;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3.4.1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среднее и высшее профессиональное образование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3.5.2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объекты культурно-досуговой деятельности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3.6.1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религиозное использование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3.7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научных исследований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3.9.2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магазины;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4.4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гостиничное обслуживание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4.7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развлекательные мероприятия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4.8.1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связь</w:t>
            </w:r>
            <w:r>
              <w:rPr>
                <w:rFonts w:eastAsiaTheme="minorHAnsi"/>
                <w:lang w:eastAsia="en-US"/>
              </w:rPr>
              <w:t xml:space="preserve">;</w:t>
            </w:r>
            <w:r>
              <w:rPr>
                <w:rFonts w:eastAsiaTheme="minorHAnsi"/>
                <w:lang w:eastAsia="en-US"/>
              </w:rPr>
            </w:r>
            <w:r>
              <w:rPr>
                <w:rFonts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6.8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обеспечен</w:t>
            </w:r>
            <w:r>
              <w:rPr>
                <w:rFonts w:cs="Times New Roman" w:eastAsiaTheme="minorHAnsi"/>
                <w:lang w:eastAsia="en-US"/>
              </w:rPr>
              <w:t xml:space="preserve">ие внутреннего правопорядка;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земельные участки (территории) общего пользования.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12.0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не подлежат установлению.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left="-567"/>
      </w:pPr>
      <w:r>
        <w:tab/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2025-06-11T06:10:34Z</dcterms:modified>
</cp:coreProperties>
</file>