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eastAsia="Times New Roman" w:cs="Times New Roman"/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5</w:t>
      </w:r>
      <w:r>
        <w:rPr>
          <w:rFonts w:ascii="Times New Roman" w:hAnsi="Times New Roman" w:eastAsia="Times New Roman" w:cs="Times New Roman"/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highlight w:val="none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0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40"/>
        <w:jc w:val="both"/>
        <w:spacing w:before="0" w:after="0"/>
        <w:widowControl/>
        <w:rPr>
          <w:rFonts w:eastAsia="NSimSun" w:cs="Times New Roman"/>
          <w:b/>
          <w:bCs/>
          <w:color w:val="auto"/>
          <w:lang w:eastAsia="zh-CN" w:bidi="ar-SA"/>
        </w:rPr>
        <w:outlineLvl w:val="0"/>
      </w:pP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  <w:r>
        <w:rPr>
          <w:rFonts w:eastAsia="NSimSun" w:cs="Times New Roman"/>
          <w:b/>
          <w:bCs/>
          <w:color w:val="auto"/>
          <w:lang w:eastAsia="zh-CN" w:bidi="ar-SA"/>
        </w:rPr>
      </w:r>
    </w:p>
    <w:p>
      <w:pPr>
        <w:ind w:left="-283" w:right="-141" w:firstLine="283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141" w:firstLine="567"/>
        <w:jc w:val="both"/>
        <w:spacing w:before="0" w:after="0" w:line="288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67. Зоны размещения промышленных, коммунальных 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складских объектов, гаражных кооперативов и хозяйственных построек (зоны ПК-1)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283" w:right="-141" w:firstLine="567"/>
        <w:jc w:val="both"/>
        <w:spacing w:before="0" w:after="0" w:line="288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-425" w:right="-141" w:firstLine="709"/>
        <w:jc w:val="both"/>
        <w:spacing w:before="0" w:after="0" w:line="288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Зоны ПК-1 выделены для обеспечения правовых условий формирования производственных, коммунально-складских предприятий, хозяйственных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гаражных образовани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141" w:firstLine="709"/>
        <w:jc w:val="both"/>
        <w:spacing w:before="0" w:after="0" w:line="288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промышленных, коммунальных и складских объектов, гаражных кооперативов и хозяйственных построек (зоны ПК-1)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9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zh-CN" w:bidi="ar-SA"/>
        </w:rPr>
      </w:r>
    </w:p>
    <w:p>
      <w:pPr>
        <w:pStyle w:val="836"/>
        <w:ind w:left="-283" w:right="-141" w:firstLine="283"/>
        <w:jc w:val="right"/>
        <w:spacing w:line="288" w:lineRule="auto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 </w:t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lang w:eastAsia="zh-CN" w:bidi="ar-SA"/>
        </w:rPr>
      </w:r>
    </w:p>
    <w:p>
      <w:pPr>
        <w:pStyle w:val="836"/>
        <w:ind w:left="-283" w:right="-141" w:firstLine="283"/>
        <w:jc w:val="right"/>
        <w:rPr>
          <w:rFonts w:eastAsia="NSimSun" w:cs="Times New Roman"/>
          <w:color w:val="auto"/>
          <w:highlight w:val="none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9</w:t>
      </w:r>
      <w:r>
        <w:rPr>
          <w:rFonts w:eastAsia="NSimSun" w:cs="Times New Roman"/>
          <w:color w:val="auto"/>
          <w:highlight w:val="none"/>
          <w:lang w:eastAsia="zh-CN" w:bidi="ar-SA"/>
        </w:rPr>
      </w:r>
      <w:r>
        <w:rPr>
          <w:rFonts w:eastAsia="NSimSun" w:cs="Times New Roman"/>
          <w:color w:val="auto"/>
          <w:highlight w:val="none"/>
          <w:lang w:eastAsia="zh-CN" w:bidi="ar-SA"/>
        </w:rPr>
      </w:r>
    </w:p>
    <w:tbl>
      <w:tblPr>
        <w:tblW w:w="9921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979"/>
        <w:gridCol w:w="1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7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restart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разрешенного использования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  <w:p>
            <w:pPr>
              <w:pStyle w:val="837"/>
              <w:ind w:left="0" w:right="-141" w:firstLine="0"/>
              <w:jc w:val="center"/>
              <w:spacing w:before="0" w:after="0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rFonts w:cs="Times New Roman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размещение гаражей для собственных нужд;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2.7.2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t xml:space="preserve">предоставление коммунальных услуг;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rFonts w:cs="Times New Roman"/>
              </w:rPr>
            </w:pPr>
            <w:r>
              <w:t xml:space="preserve">пищевая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6.4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строительная промышленность;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t xml:space="preserve">энергетика;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t xml:space="preserve">связь;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/>
            <w:bookmarkStart w:id="0" w:name="undefined"/>
            <w:r>
              <w:rPr>
                <w:color w:val="auto"/>
              </w:rPr>
              <w:t xml:space="preserve">склад</w:t>
            </w:r>
            <w:bookmarkEnd w:id="0"/>
            <w:r>
              <w:rPr>
                <w:color w:val="auto"/>
              </w:rPr>
              <w:t xml:space="preserve">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t xml:space="preserve">железнодорожные пути.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vMerge w:val="restart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8"/>
              <w:ind w:left="-283" w:right="-141" w:firstLine="283"/>
              <w:jc w:val="center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rFonts w:cs="Times New Roman"/>
              </w:rPr>
            </w:pPr>
            <w:r>
              <w:t xml:space="preserve">тяжелая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t xml:space="preserve">6.2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83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rFonts w:cs="Times New Roman"/>
              </w:rPr>
            </w:pPr>
            <w:r>
              <w:t xml:space="preserve">легкая промышленность;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838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tabs>
                <w:tab w:val="left" w:pos="1218" w:leader="none"/>
              </w:tabs>
              <w:rPr>
                <w:rFonts w:cs="Times New Roman"/>
              </w:rPr>
            </w:pPr>
            <w:r>
              <w:t xml:space="preserve">нефтехимическая промышленность.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84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9" w:type="dxa"/>
            <w:textDirection w:val="lrTb"/>
            <w:noWrap w:val="false"/>
          </w:tcPr>
          <w:p>
            <w:pPr>
              <w:pStyle w:val="837"/>
              <w:ind w:left="142" w:right="-5" w:firstLine="0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-142" w:right="-141" w:firstLine="56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</w:p>
    <w:p>
      <w:pPr>
        <w:ind w:left="-142" w:right="-141" w:firstLine="567"/>
        <w:jc w:val="both"/>
        <w:spacing w:before="0" w:after="0" w:line="288" w:lineRule="auto"/>
        <w:widowControl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 размещения промышленных, коммунальных и складских объектов, гаражных кооперативов и хозяйственных построек (зоны ПК-1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10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</w:p>
    <w:p>
      <w:pPr>
        <w:pStyle w:val="654"/>
        <w:contextualSpacing/>
        <w:ind w:left="-283" w:right="-141" w:firstLine="283"/>
        <w:jc w:val="right"/>
        <w:spacing w:before="0"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</w:p>
    <w:p>
      <w:pPr>
        <w:pStyle w:val="654"/>
        <w:contextualSpacing/>
        <w:ind w:left="-283" w:right="-141" w:firstLine="283"/>
        <w:jc w:val="right"/>
        <w:spacing w:before="0"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</w:p>
    <w:p>
      <w:pPr>
        <w:pStyle w:val="654"/>
        <w:contextualSpacing/>
        <w:ind w:left="-283" w:right="-141" w:firstLine="283"/>
        <w:jc w:val="right"/>
        <w:spacing w:before="0"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</w:t>
      </w: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10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lang w:eastAsia="zh-CN" w:bidi="ar-SA"/>
        </w:rPr>
      </w:r>
    </w:p>
    <w:tbl>
      <w:tblPr>
        <w:tblW w:w="10063" w:type="dxa"/>
        <w:tblInd w:w="-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078"/>
        <w:gridCol w:w="1080"/>
        <w:gridCol w:w="1102"/>
        <w:gridCol w:w="1102"/>
        <w:gridCol w:w="1389"/>
        <w:gridCol w:w="1701"/>
        <w:gridCol w:w="1276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Merge w:val="restart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tabs>
                <w:tab w:val="left" w:pos="1276" w:leader="none"/>
              </w:tabs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 w:right="-5" w:firstLine="0"/>
              <w:jc w:val="center"/>
              <w:spacing w:before="0" w:after="0"/>
              <w:tabs>
                <w:tab w:val="left" w:pos="1276" w:leader="none"/>
              </w:tabs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 w:right="-5" w:firstLine="0"/>
              <w:jc w:val="center"/>
              <w:spacing w:before="0" w:after="0"/>
              <w:tabs>
                <w:tab w:val="left" w:pos="1276" w:leader="none"/>
              </w:tabs>
              <w:rPr>
                <w:color w:val="auto"/>
              </w:rPr>
            </w:pPr>
            <w:r>
              <w:t xml:space="preserve">решен</w:t>
            </w:r>
            <w:r>
              <w:t xml:space="preserve">ного</w:t>
            </w:r>
            <w:r>
              <w:t xml:space="preserve"> </w:t>
            </w:r>
            <w:r>
              <w:t xml:space="preserve">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8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 w:right="-5" w:firstLine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2.7.2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lang w:val="en-US"/>
              </w:rPr>
            </w:pPr>
            <w:r>
              <w:t xml:space="preserve">1*</w:t>
            </w:r>
            <w:r>
              <w:rPr>
                <w:lang w:val="en-US"/>
              </w:rPr>
              <w:t xml:space="preserve">/4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7.1.1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rFonts w:eastAsia="Calibri" w:cs="Calibri"/>
                <w:szCs w:val="22"/>
                <w:lang w:eastAsia="zh-CN" w:bidi="ar-SA"/>
              </w:rPr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W w:w="1335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6.5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78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080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-283" w:right="-141" w:firstLine="283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1282" w:hRule="exact"/>
        </w:trPr>
        <w:tc>
          <w:tcPr>
            <w:gridSpan w:val="8"/>
            <w:tcW w:w="10063" w:type="dxa"/>
            <w:vAlign w:val="center"/>
            <w:textDirection w:val="lrTb"/>
            <w:noWrap w:val="false"/>
          </w:tcPr>
          <w:p>
            <w:pPr>
              <w:ind w:left="142" w:right="137" w:firstLine="0"/>
              <w:jc w:val="both"/>
              <w:spacing w:before="0" w:after="0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* При определении предельного количества этажей учитыва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ются все надземные этажи, в том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числе технические этажи, мансардные, а также цокольный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 этаж, если верх его перекрытия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находится выше средней планировочной отметки земли не менее чем на 2 метра.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425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2025-06-25T11:29:47Z</dcterms:modified>
</cp:coreProperties>
</file>