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32"/>
          <w:szCs w:val="32"/>
          <w:highlight w:val="white"/>
        </w:rPr>
      </w:pPr>
      <w:r>
        <w:rPr>
          <w:rFonts w:eastAsia="Calibri"/>
          <w:sz w:val="32"/>
          <w:szCs w:val="32"/>
          <w:lang w:eastAsia="en-US"/>
        </w:rPr>
        <w:t xml:space="preserve">ОПОВЕЩЕНИЕ</w:t>
      </w:r>
      <w:r>
        <w:rPr>
          <w:sz w:val="32"/>
          <w:szCs w:val="32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32"/>
          <w:szCs w:val="32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76"/>
        <w:rPr>
          <w:rFonts w:ascii="Times New Roman" w:hAnsi="Times New Roman" w:cs="Times New Roman" w:eastAsia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22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.07.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№ 355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-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ого плана муниципального образования — Михайловс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территории Голдинского сельского округа Михайловского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», проводятся общественные обсуждения по проекту генерального плана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Михайловс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территории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Голдинского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сельского округа Михайловского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</w:r>
      <w:r/>
    </w:p>
    <w:p>
      <w:pPr>
        <w:ind w:left="-567" w:right="-284" w:firstLine="567"/>
        <w:jc w:val="both"/>
        <w:spacing w:lineRule="auto" w:line="276"/>
        <w:rPr>
          <w:sz w:val="28"/>
          <w:szCs w:val="28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val="clear" w:fill="FFFFFF" w:color="FFFFFF"/>
          <w:lang w:val="ru-RU" w:bidi="ar-SA" w:eastAsia="zh-CN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sz w:val="28"/>
          <w:szCs w:val="28"/>
          <w:highlight w:val="whit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Информационные материалы к проекту:</w:t>
      </w:r>
      <w:r>
        <w:rPr>
          <w:sz w:val="28"/>
          <w:szCs w:val="28"/>
          <w:highlight w:val="white"/>
        </w:rPr>
      </w:r>
      <w:r/>
    </w:p>
    <w:p>
      <w:pPr>
        <w:pStyle w:val="497"/>
        <w:ind w:left="0" w:right="-284" w:firstLine="0"/>
        <w:jc w:val="both"/>
        <w:spacing w:lineRule="auto" w:line="276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Объявление о проведении общественных слушаний;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8"/>
          <w:szCs w:val="28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8"/>
          <w:szCs w:val="28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 ул. Маяковского, д. 9 к. 1 (начальник отдела комиссии </w:t>
        <w:br/>
        <w:t xml:space="preserve">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sz w:val="28"/>
          <w:szCs w:val="28"/>
          <w:highlight w:val="yellow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«25» июля 2025 г. </w:t>
        <w:br/>
        <w:t xml:space="preserve">по «13» августа 2025 г.</w:t>
      </w:r>
      <w:r>
        <w:rPr>
          <w:sz w:val="28"/>
          <w:szCs w:val="28"/>
          <w:highlight w:val="yellow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 28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.0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7</w:t>
      </w:r>
      <w:r>
        <w:rPr>
          <w:rFonts w:cs="Times New Roman" w:eastAsia="Calibri"/>
          <w:color w:val="000000"/>
          <w:sz w:val="28"/>
          <w:szCs w:val="28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Главная —&gt; Анонсы и объявления —&gt; Проект генерального плана Михайловский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муниципальный округ Рязанской области применительно к территории Голдинского сельского округа Михайловского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28.07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sz w:val="28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Экспозиция проекта.</w:t>
      </w:r>
      <w:r>
        <w:rPr>
          <w:sz w:val="28"/>
          <w:szCs w:val="28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Михайловском муниципальном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: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</w:r>
      <w:r/>
    </w:p>
    <w:p>
      <w:pPr>
        <w:ind w:left="-567" w:right="-283" w:firstLine="567"/>
        <w:jc w:val="both"/>
        <w:spacing w:lineRule="auto" w:line="276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п.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отделения «Возрождение» совхоза «Калининский» (ул. Луговая около </w:t>
        <w:br/>
        <w:t xml:space="preserve">д. 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10:40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с. Голдино ул. Совхозная зд. 2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11:15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tabs>
          <w:tab w:val="left" w:pos="6251" w:leader="none"/>
        </w:tabs>
        <w:rPr>
          <w:b w:val="false"/>
          <w:bCs w:val="false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Павелково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ул. Лесная около д. 30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11:35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час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b w:val="false"/>
          <w:bCs w:val="false"/>
          <w:sz w:val="28"/>
          <w:szCs w:val="28"/>
          <w:highlight w:val="none"/>
        </w:rPr>
        <w:t xml:space="preserve">;</w:t>
      </w:r>
      <w:r>
        <w:rPr>
          <w:b w:val="false"/>
          <w:bCs w:val="false"/>
          <w:sz w:val="28"/>
          <w:szCs w:val="28"/>
          <w:highlight w:val="none"/>
        </w:rPr>
      </w:r>
      <w:r/>
    </w:p>
    <w:p>
      <w:pPr>
        <w:pStyle w:val="497"/>
        <w:ind w:left="-425" w:right="-284" w:firstLine="425"/>
        <w:jc w:val="both"/>
        <w:spacing w:lineRule="auto" w:line="276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д. Киндяково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около д. 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21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11:50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Барановка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12:20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с. Малинки (ул. Кульковка около зд. 19А)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12:40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с. Покровское - 2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около д. 250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12:55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Рябцево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13:15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. Большая Дорогинка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13:30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76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Малая Дорогинка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около д. 322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«28» июля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13:50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«01»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76" w:after="0" w:afterAutospacing="0" w:before="0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76" w:after="0" w:afterAutospacing="0" w:before="0"/>
        <w:rPr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01.08.2025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10</w:t>
      </w:r>
      <w:r>
        <w:rPr>
          <w:rFonts w:cs="Times New Roman" w:eastAsia="Times New Roman"/>
          <w:color w:val="000000"/>
          <w:sz w:val="28"/>
          <w:szCs w:val="28"/>
          <w:highlight w:val="none"/>
          <w:lang w:val="ru-RU" w:bidi="ar-SA" w:eastAsia="en-US"/>
        </w:rPr>
        <w:t xml:space="preserve">:30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10:40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Михайловский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п.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отделения «Возрождение» совхоза «Калининский» (ул. Луговая около д. 2)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10:55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11:15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ас.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округ, </w:t>
        <w:br/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с. Голдино ул. Совхозная зд. 2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в административном здании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11:2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11:35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  <w:br/>
        <w:t xml:space="preserve">д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. Павелково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ул. Лесная около д. 30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76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11:45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11:50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д. Киндяково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около д. 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21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12:15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12:20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Барановка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12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:30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 по 12:40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с. Малинки (ул. Кульковка около зд. 19А)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12:45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час. по 12:55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с. Покровское - 2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около д. 250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13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:10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час. по 13:15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Рябцево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13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:25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час. по 13:30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. Большая Дорогинка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13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:40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час. по 13:50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Малая Дорогинка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около д. 322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76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5" w:after="119" w:afterAutospacing="0"/>
        <w:shd w:val="clear" w:fill="FFFFFF" w:color="FFFFFF" w:themeFill="background1"/>
        <w:rPr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«28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июля 2025 г. по «01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293, 264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45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45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8"/>
            <w:szCs w:val="28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«28» июля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  <w:br/>
        <w:t xml:space="preserve">по 17:00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45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4" w:tooltip="mailto:uag@ryazan.gov.ru" w:history="1">
        <w:r>
          <w:rPr>
            <w:rFonts w:cs="Times New Roman" w:eastAsia="Times New Roman"/>
            <w:sz w:val="28"/>
            <w:szCs w:val="28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«28» июля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), 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«28» июля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 2025 г.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(посредством e-mail));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/>
        <w:shd w:val="clear" w:fill="FFFFFF" w:color="FFFFFF" w:themeFill="background1"/>
        <w:rPr>
          <w:rFonts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«28» июля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45"/>
        <w:shd w:val="clear" w:fill="FFFFFF" w:color="FFFFFF" w:themeFill="background1"/>
        <w:rPr>
          <w:rFonts w:cs="Times New Roman" w:eastAsia="Times New Roman"/>
          <w:color w:val="000000"/>
          <w:sz w:val="28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45"/>
        <w:shd w:val="clear" w:fill="FFFFFF" w:color="FFFFFF" w:themeFill="background1"/>
        <w:rPr>
          <w:sz w:val="28"/>
          <w:szCs w:val="28"/>
        </w:rPr>
      </w:pPr>
      <w:r>
        <w:rPr>
          <w:rFonts w:cs="Times New Roman" w:eastAsia="Times New Roman"/>
          <w:b/>
          <w:color w:val="000000" w:themeColor="text1"/>
          <w:sz w:val="28"/>
          <w:szCs w:val="28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8"/>
            <w:szCs w:val="28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8"/>
          <w:szCs w:val="28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b w:val="false"/>
          <w:color w:val="000000" w:themeColor="text1"/>
          <w:sz w:val="28"/>
          <w:szCs w:val="28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копия паспорта (развороты с фотографией и с пропиской);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45" w:after="0" w:afterAutospacing="0" w:before="0"/>
        <w:rPr>
          <w:b w:val="false"/>
          <w:sz w:val="28"/>
          <w:szCs w:val="28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8"/>
          <w:szCs w:val="28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8"/>
          <w:szCs w:val="28"/>
          <w:u w:val="none"/>
        </w:rPr>
      </w:r>
      <w:r/>
    </w:p>
    <w:p>
      <w:pPr>
        <w:pStyle w:val="497"/>
        <w:ind w:left="-567" w:right="-285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а) Сведения об участнике общественных обсуждений:</w:t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8"/>
          <w:szCs w:val="28"/>
        </w:rPr>
      </w:r>
      <w:r/>
    </w:p>
    <w:p>
      <w:pPr>
        <w:pStyle w:val="497"/>
        <w:ind w:left="-567" w:right="-284" w:firstLine="567"/>
        <w:jc w:val="both"/>
        <w:spacing w:lineRule="auto" w:line="245" w:after="0" w:afterAutospacing="0" w:before="0"/>
        <w:rPr>
          <w:rFonts w:cs="Times New Roman" w:eastAsia="Times New Roman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lineRule="auto" w:line="245" w:after="0" w:afterAutospacing="0" w:before="0"/>
        <w:rPr>
          <w:sz w:val="28"/>
          <w:szCs w:val="28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/>
    </w:p>
    <w:p>
      <w:pPr>
        <w:pStyle w:val="497"/>
        <w:ind w:left="-567" w:right="-285" w:firstLine="567"/>
        <w:jc w:val="both"/>
        <w:spacing w:lineRule="auto" w:line="245" w:after="0" w:afterAutospacing="0" w:before="0"/>
        <w:rPr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8"/>
            <w:szCs w:val="28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8"/>
          <w:szCs w:val="28"/>
          <w:lang w:eastAsia="en-US"/>
        </w:rPr>
        <w:br/>
        <w:t xml:space="preserve">от 27.07.2006 года № 152-ФЗ «О персональных данных».</w:t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2025-07-24T13:21:42Z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