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03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.07.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yellow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332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Первинского сельского округа Касимовского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</w:t>
        <w:br/>
        <w:t xml:space="preserve">по проекту правил землепользования и застройки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 </w:t>
        <w:br/>
        <w:t xml:space="preserve">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</w:t>
        <w:br/>
        <w:t xml:space="preserve">к территориям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Первинского сельского округа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Касимовского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июля 2025 г. </w:t>
        <w:br/>
        <w:t xml:space="preserve">по «30» июля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07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7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Первинского сельского округа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Касимовского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07.07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Касимовском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Колубердеево (около д. 16)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09:10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  Баишево 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при въезде в населенный пункт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09:25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  Чинур (около д. 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09:55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7"/>
          <w:szCs w:val="27"/>
          <w:highlight w:val="none"/>
        </w:rPr>
      </w:r>
      <w:r/>
    </w:p>
    <w:p>
      <w:pPr>
        <w:pStyle w:val="497"/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i w:val="false"/>
          <w:iCs w:val="false"/>
          <w:color w:val="000000"/>
          <w:sz w:val="27"/>
          <w:szCs w:val="27"/>
          <w:highlight w:val="none"/>
        </w:rPr>
        <w:t xml:space="preserve">д.  Жданово (около д. 25)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10:15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  Давыдово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(около д. 2)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10:30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 Савино (около д. 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10:50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Шемякино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  Перво д. 120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11:30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  Василево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 Поздняково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 Мальцево (около д. 55)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 Бетино (около д. 47)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 Ананьино (около д. 25)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  Ерденево (около д. 44)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  Сеитово (около д. 76)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Балушевы Починки(ул. Центральная д. 70)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 Толстиково (около д. 43)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Некрасовка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18.07.2025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09:00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09:10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Колубердеево (около д. 16)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09:20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09:25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Баишево (при въезде в населенный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09:45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09:55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Чинур (около д. 5)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10:15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Жданово (около д. 25)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ascii="Times New Roman" w:hAnsi="Times New Roman" w:cs="Times New Roman" w:eastAsia="Times New Roman"/>
          <w:i w:val="false"/>
          <w:iCs w:val="false"/>
          <w:color w:val="000000" w:themeColor="text1"/>
          <w:sz w:val="28"/>
          <w:szCs w:val="28"/>
          <w:highlight w:val="none"/>
        </w:rPr>
        <w:t xml:space="preserve">д. Давыдово (около д. 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10: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Савино (около д. 2)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11:00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11:05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Шемякино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11:15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11:30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Перво д. 120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Василево (около д. 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11:55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Поздняково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Мальцево (около д. 55)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12:40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Бетино (около д. 47)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Ананьино (около д. 25)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13:05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Ерденево (около д. 44)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 w:after="0" w:afterAutospacing="0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13:35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Сеитово (около д. 76)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Балушевы Починки(ул. Центральная д. 70)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0" w:afterAutospacing="0"/>
        <w:shd w:val="clear" w:fill="FFFFFF" w:color="FFFFFF" w:themeFill="background1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Толстиково (около д. 43)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Некрасовка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6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07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  <w:br/>
        <w:t xml:space="preserve">2025 г.,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sz w:val="27"/>
          <w:szCs w:val="26"/>
        </w:rPr>
        <w:t xml:space="preserve"> по телефону </w:t>
      </w:r>
      <w:r>
        <w:rPr>
          <w:b/>
          <w:color w:val="000000" w:themeColor="text1"/>
          <w:sz w:val="27"/>
          <w:szCs w:val="26"/>
          <w:lang w:eastAsia="en-US"/>
        </w:rPr>
        <w:t xml:space="preserve">(4912) 97-19-90 доб. 293, 253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97"/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июля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июля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  <w:t xml:space="preserve">«18»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2025-07-03T14:43:20Z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