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25.07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 359-д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Кораблинский муниципальный округ Рязанской области применительно к территории Яблоневского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u w:val="none"/>
          <w:lang w:val="ru-RU" w:bidi="ar-SA" w:eastAsia="zh-CN"/>
        </w:rPr>
        <w:t xml:space="preserve">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Кораблинский муниципальный округ Рязанской области применительно к территории Яблоневского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сельского округа Кораблинского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«29»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июля 2025 г. </w:t>
        <w:br/>
        <w:t xml:space="preserve">по «13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» августа 2025 г.</w:t>
      </w:r>
      <w:r>
        <w:rPr>
          <w:sz w:val="27"/>
          <w:szCs w:val="27"/>
          <w:highlight w:val="yellow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30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Яблоневского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округа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Кораблинского </w:t>
        <w:br/>
        <w:t xml:space="preserve">м.о. от 30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г.).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Кораблинском округе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 Кумино (около д. 14)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10:45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«06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с. Чижово (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автобусная остановка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12:00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- 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Дроково (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около д.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4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4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12:15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Ерлино ул. Административный центр д. 2 в административное здание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в часы работы администрации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11:40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;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Ерлино Выселки (при въезде в населенный пункт)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13:0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5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Крутое (при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13:25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Щелево (автобусная остановка)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13:35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Яблонево ул. Молодежная (около д. 4)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br/>
        <w:t xml:space="preserve">по 13:50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Залесное-Чулково ул. Лесная (около д. 3А)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 (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«30» июля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по 14:10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eastAsia="en-US"/>
        </w:rPr>
        <w:t xml:space="preserve">«06» августа 2025 г.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bCs w:val="false"/>
          <w:i w:val="false"/>
          <w:color w:val="000000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52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</w:rPr>
      </w:r>
      <w:r/>
    </w:p>
    <w:p>
      <w:pPr>
        <w:pStyle w:val="468"/>
        <w:ind w:left="-567" w:right="-285" w:firstLine="567"/>
        <w:jc w:val="both"/>
        <w:spacing w:lineRule="auto" w:line="252" w:after="0" w:afterAutospacing="0" w:before="0"/>
        <w:rPr>
          <w:sz w:val="27"/>
          <w:szCs w:val="27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u w:val="single"/>
          <w:lang w:eastAsia="en-US"/>
        </w:rPr>
        <w:t xml:space="preserve">06.08.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10:40 час. по 10:45 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,</w:t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Кумино (около д. 14)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11:45 час. по 12:00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Чижово (автобусная остановка)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12:10 час. по 12:15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д. Дроково (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около д. 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4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4</w:t>
      </w:r>
      <w:r>
        <w:rPr>
          <w:rFonts w:cs="Times New Roman" w:eastAsia="Times New Roman"/>
          <w:i w:val="false"/>
          <w:iCs w:val="false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  <w:highlight w:val="none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12:25 час. по 12:40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Ерлино ул. Административный центр д. 2 в административное здание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13:00 час. по 13:05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Ерлино Выселки (при въезде в населенный пункт)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13:20 час. по 13:25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Крутое (при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13:30 час. по 13:35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Щелево (автобусная остановка)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13:40 час. по 13:50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с. Яблонево ул. Молодежная (около д. 4)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52" w:after="0" w:before="0"/>
        <w:widowControl/>
        <w:rPr>
          <w:sz w:val="26"/>
          <w:szCs w:val="26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- с 14:00 час. по 14:10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7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Кораблинский</w:t>
      </w:r>
      <w:r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t xml:space="preserve"> сельский округ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ru-RU" w:bidi="hi-IN" w:eastAsia="zh-CN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Залесное-Чулково ул. Лесная (около д. 3А)</w:t>
      </w:r>
      <w:r>
        <w:rPr>
          <w:rFonts w:cs="Times New Roman" w:eastAsia="Times New Roman"/>
          <w:color w:val="000000" w:themeColor="text1"/>
          <w:sz w:val="27"/>
          <w:szCs w:val="27"/>
          <w:lang w:eastAsia="en-US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before="0"/>
        <w:widowControl/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«30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июля 2025 г. по «06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августа</w:t>
      </w:r>
      <w:r>
        <w:rPr>
          <w:rFonts w:cs="Times New Roman" w:eastAsia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г., с 09:00 час. по 17:00 час. </w:t>
      </w:r>
      <w:r>
        <w:rPr>
          <w:rFonts w:cs="Times New Roman" w:eastAsia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293, 256.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  <w:szCs w:val="27"/>
        </w:rPr>
      </w:pPr>
      <w:r>
        <w:rPr>
          <w:sz w:val="26"/>
          <w:szCs w:val="26"/>
          <w:highlight w:val="none"/>
        </w:rPr>
      </w:r>
      <w:r>
        <w:rPr>
          <w:sz w:val="27"/>
          <w:szCs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«30»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17:00 час. </w:t>
        <w:br/>
        <w:t xml:space="preserve">«06»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«30»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«06»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«30»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 по время окончания консультирования </w:t>
        <w:br/>
        <w:t xml:space="preserve">«06»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г.).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b w:val="false"/>
          <w:sz w:val="26"/>
          <w:szCs w:val="26"/>
          <w:u w:val="none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rFonts w:cs="Times New Roman" w:eastAsia="Times New Roman"/>
          <w:color w:val="000000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121</cp:revision>
  <dcterms:created xsi:type="dcterms:W3CDTF">2024-05-31T06:53:00Z</dcterms:created>
  <dcterms:modified xsi:type="dcterms:W3CDTF">2025-07-29T10:16:13Z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