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F20" w:rsidRDefault="005440C4">
      <w:pPr>
        <w:spacing w:line="288" w:lineRule="auto"/>
        <w:jc w:val="center"/>
        <w:rPr>
          <w:color w:val="C00000"/>
        </w:rPr>
      </w:pPr>
      <w:r>
        <w:rPr>
          <w:noProof/>
          <w:color w:val="C00000"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017F20" w:rsidRDefault="005440C4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proofErr w:type="gramStart"/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color w:val="000000" w:themeColor="text1"/>
          <w:spacing w:val="-20"/>
          <w:sz w:val="31"/>
        </w:rPr>
        <w:t xml:space="preserve">  АРХИТЕКТУРЫ  И  ГРАДОСТРОИТЕЛЬСТВА</w:t>
      </w:r>
    </w:p>
    <w:p w:rsidR="00017F20" w:rsidRDefault="005440C4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017F20" w:rsidRDefault="00017F20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017F20" w:rsidRDefault="00017F20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017F20" w:rsidRDefault="005440C4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017F20" w:rsidRDefault="00017F20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017F20" w:rsidRDefault="00017F20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017F20" w:rsidRDefault="005440C4">
      <w:pPr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4B38F8">
        <w:rPr>
          <w:color w:val="000000" w:themeColor="text1"/>
          <w:sz w:val="28"/>
        </w:rPr>
        <w:t>22</w:t>
      </w:r>
      <w:r>
        <w:rPr>
          <w:color w:val="000000" w:themeColor="text1"/>
          <w:sz w:val="28"/>
        </w:rPr>
        <w:t>»</w:t>
      </w:r>
      <w:r w:rsidR="004B38F8">
        <w:rPr>
          <w:color w:val="000000" w:themeColor="text1"/>
          <w:sz w:val="28"/>
        </w:rPr>
        <w:t xml:space="preserve"> июля </w:t>
      </w:r>
      <w:r>
        <w:rPr>
          <w:color w:val="000000" w:themeColor="text1"/>
          <w:sz w:val="28"/>
        </w:rPr>
        <w:t xml:space="preserve">2025 г.                                                                  </w:t>
      </w:r>
      <w:r w:rsidR="004B38F8">
        <w:rPr>
          <w:color w:val="000000" w:themeColor="text1"/>
          <w:sz w:val="28"/>
        </w:rPr>
        <w:tab/>
      </w:r>
      <w:r w:rsidR="004B38F8">
        <w:rPr>
          <w:color w:val="000000" w:themeColor="text1"/>
          <w:sz w:val="28"/>
        </w:rPr>
        <w:tab/>
      </w:r>
      <w:r w:rsidR="004B38F8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 xml:space="preserve">      № </w:t>
      </w:r>
      <w:r w:rsidR="004B38F8">
        <w:rPr>
          <w:color w:val="000000" w:themeColor="text1"/>
          <w:sz w:val="28"/>
        </w:rPr>
        <w:t>574-п</w:t>
      </w:r>
    </w:p>
    <w:p w:rsidR="00017F20" w:rsidRDefault="00017F20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017F20" w:rsidRDefault="00017F20">
      <w:pPr>
        <w:widowControl w:val="0"/>
        <w:tabs>
          <w:tab w:val="left" w:pos="709"/>
        </w:tabs>
        <w:jc w:val="center"/>
        <w:rPr>
          <w:color w:val="000000" w:themeColor="text1"/>
          <w:sz w:val="28"/>
          <w:highlight w:val="yellow"/>
        </w:rPr>
      </w:pPr>
    </w:p>
    <w:p w:rsidR="00017F20" w:rsidRDefault="005440C4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017F20" w:rsidRDefault="005440C4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территории </w:t>
      </w:r>
      <w:proofErr w:type="spellStart"/>
      <w:r>
        <w:rPr>
          <w:rFonts w:ascii="Times New Roman" w:hAnsi="Times New Roman"/>
          <w:sz w:val="28"/>
          <w:szCs w:val="28"/>
        </w:rPr>
        <w:t>Кипчаковского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br/>
        <w:t>Рязанской области</w:t>
      </w:r>
    </w:p>
    <w:bookmarkEnd w:id="0"/>
    <w:p w:rsidR="00017F20" w:rsidRDefault="00017F20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017F20" w:rsidRDefault="005440C4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</w:t>
      </w:r>
      <w:r>
        <w:rPr>
          <w:color w:val="000000" w:themeColor="text1"/>
          <w:sz w:val="28"/>
          <w:szCs w:val="28"/>
        </w:rPr>
        <w:t>Градостроительно</w:t>
      </w:r>
      <w:r>
        <w:rPr>
          <w:color w:val="000000" w:themeColor="text1"/>
          <w:sz w:val="28"/>
          <w:szCs w:val="28"/>
        </w:rPr>
        <w:t>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</w:t>
      </w:r>
      <w:r>
        <w:rPr>
          <w:color w:val="000000" w:themeColor="text1"/>
          <w:sz w:val="28"/>
          <w:szCs w:val="28"/>
        </w:rPr>
        <w:t>зований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</w:rPr>
        <w:t xml:space="preserve">от 16.06.2025 по проекту генерального плана муниципального образования –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proofErr w:type="spellStart"/>
      <w:r>
        <w:rPr>
          <w:sz w:val="28"/>
          <w:szCs w:val="28"/>
        </w:rPr>
        <w:t>Кораблинский</w:t>
      </w:r>
      <w:proofErr w:type="spellEnd"/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ипальный округ Рязанской области применительно </w:t>
      </w:r>
      <w:r>
        <w:rPr>
          <w:sz w:val="28"/>
          <w:szCs w:val="28"/>
        </w:rPr>
        <w:br/>
        <w:t xml:space="preserve">к территории </w:t>
      </w:r>
      <w:proofErr w:type="spellStart"/>
      <w:r>
        <w:rPr>
          <w:sz w:val="28"/>
          <w:szCs w:val="28"/>
        </w:rPr>
        <w:t>Кипчаковского</w:t>
      </w:r>
      <w:proofErr w:type="spellEnd"/>
      <w:r>
        <w:rPr>
          <w:sz w:val="28"/>
          <w:szCs w:val="28"/>
        </w:rPr>
        <w:t xml:space="preserve"> сельского округа </w:t>
      </w:r>
      <w:proofErr w:type="spellStart"/>
      <w:r>
        <w:rPr>
          <w:sz w:val="28"/>
          <w:szCs w:val="28"/>
        </w:rPr>
        <w:t>Кораблинского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  <w:t>Рязанской области</w:t>
      </w:r>
      <w:r>
        <w:rPr>
          <w:color w:val="000000" w:themeColor="text1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</w:t>
      </w:r>
      <w:r>
        <w:rPr>
          <w:color w:val="000000" w:themeColor="text1"/>
          <w:sz w:val="28"/>
          <w:szCs w:val="28"/>
        </w:rPr>
        <w:t>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017F20" w:rsidRDefault="005440C4" w:rsidP="005440C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sz w:val="28"/>
          <w:szCs w:val="28"/>
        </w:rPr>
        <w:t>Кипчаковского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17F20" w:rsidRDefault="005440C4" w:rsidP="005440C4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17F20" w:rsidRDefault="005440C4" w:rsidP="005440C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017F20" w:rsidRDefault="005440C4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>к террит</w:t>
      </w:r>
      <w:r>
        <w:rPr>
          <w:rFonts w:ascii="Times New Roman" w:hAnsi="Times New Roman"/>
          <w:sz w:val="28"/>
          <w:szCs w:val="28"/>
        </w:rPr>
        <w:t xml:space="preserve">ории </w:t>
      </w:r>
      <w:proofErr w:type="spellStart"/>
      <w:r>
        <w:rPr>
          <w:rFonts w:ascii="Times New Roman" w:hAnsi="Times New Roman"/>
          <w:sz w:val="28"/>
          <w:szCs w:val="28"/>
        </w:rPr>
        <w:t>Кипчаковского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федеральной государственной информационной системе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017F20" w:rsidRDefault="005440C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017F20" w:rsidRDefault="005440C4" w:rsidP="005440C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017F20" w:rsidRDefault="005440C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017F20" w:rsidRDefault="005440C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017F20" w:rsidRDefault="005440C4" w:rsidP="005440C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архитектуры и градостроительства Рязанской области в сети «Интернет».</w:t>
      </w:r>
    </w:p>
    <w:p w:rsidR="00017F20" w:rsidRDefault="005440C4" w:rsidP="005440C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</w:t>
      </w:r>
      <w:r>
        <w:rPr>
          <w:rFonts w:ascii="Times New Roman" w:hAnsi="Times New Roman"/>
          <w:color w:val="000000" w:themeColor="text1"/>
          <w:sz w:val="28"/>
          <w:szCs w:val="28"/>
        </w:rPr>
        <w:t>ет», публикацию в средствах массовой информации.</w:t>
      </w:r>
    </w:p>
    <w:p w:rsidR="00017F20" w:rsidRDefault="005440C4" w:rsidP="005440C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Признать утратившим силу постановление главного управления архитектуры и градостроительства Рязанской области от 06.07.2022 № 365-п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Кипчаковс</w:t>
      </w:r>
      <w:r>
        <w:rPr>
          <w:rFonts w:ascii="Times New Roman" w:hAnsi="Times New Roman"/>
          <w:color w:val="000000" w:themeColor="text1"/>
          <w:sz w:val="28"/>
          <w:szCs w:val="28"/>
        </w:rPr>
        <w:t>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Рязанской области».</w:t>
      </w:r>
    </w:p>
    <w:p w:rsidR="00017F20" w:rsidRDefault="005440C4">
      <w:pPr>
        <w:pStyle w:val="ConsPlusNormal1"/>
        <w:widowControl w:val="0"/>
        <w:shd w:val="clear" w:color="FFFFFF" w:themeColor="background1" w:fill="FFFFFF" w:themeFill="background1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8.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 Попкову.</w:t>
      </w:r>
    </w:p>
    <w:p w:rsidR="00017F20" w:rsidRDefault="00017F20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017F20" w:rsidRDefault="00017F20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017F20" w:rsidRDefault="005440C4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017F20">
      <w:headerReference w:type="default" r:id="rId13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C4" w:rsidRDefault="005440C4">
      <w:r>
        <w:separator/>
      </w:r>
    </w:p>
  </w:endnote>
  <w:endnote w:type="continuationSeparator" w:id="0">
    <w:p w:rsidR="005440C4" w:rsidRDefault="0054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C4" w:rsidRDefault="005440C4">
      <w:r>
        <w:separator/>
      </w:r>
    </w:p>
  </w:footnote>
  <w:footnote w:type="continuationSeparator" w:id="0">
    <w:p w:rsidR="005440C4" w:rsidRDefault="0054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F20" w:rsidRDefault="005440C4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4B38F8" w:rsidRPr="004B38F8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017F20" w:rsidRDefault="00017F2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E3CE3"/>
    <w:multiLevelType w:val="multilevel"/>
    <w:tmpl w:val="20E2FCB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20"/>
    <w:rsid w:val="00017F20"/>
    <w:rsid w:val="004B38F8"/>
    <w:rsid w:val="0054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150B"/>
  <w15:docId w15:val="{B31CC6DE-4CB7-4636-8F67-404698F7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295</cp:revision>
  <dcterms:created xsi:type="dcterms:W3CDTF">2025-07-22T08:18:00Z</dcterms:created>
  <dcterms:modified xsi:type="dcterms:W3CDTF">2025-07-22T08:24:00Z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