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560" w:rsidRDefault="00B50A47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5C7560" w:rsidRDefault="00B50A47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5C7560" w:rsidRDefault="00B50A47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C7560" w:rsidRDefault="005C7560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5C7560" w:rsidRDefault="005C7560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5C7560" w:rsidRDefault="00B50A4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C7560" w:rsidRDefault="005C7560">
      <w:pPr>
        <w:tabs>
          <w:tab w:val="left" w:pos="709"/>
        </w:tabs>
        <w:jc w:val="center"/>
        <w:rPr>
          <w:sz w:val="28"/>
        </w:rPr>
      </w:pPr>
    </w:p>
    <w:p w:rsidR="005C7560" w:rsidRDefault="005C7560">
      <w:pPr>
        <w:tabs>
          <w:tab w:val="left" w:pos="709"/>
        </w:tabs>
        <w:jc w:val="center"/>
        <w:rPr>
          <w:sz w:val="28"/>
        </w:rPr>
      </w:pPr>
    </w:p>
    <w:p w:rsidR="005C7560" w:rsidRDefault="00B50A4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052C4">
        <w:rPr>
          <w:sz w:val="28"/>
        </w:rPr>
        <w:t>28</w:t>
      </w:r>
      <w:r>
        <w:rPr>
          <w:sz w:val="28"/>
        </w:rPr>
        <w:t>»</w:t>
      </w:r>
      <w:r w:rsidR="004052C4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</w:t>
      </w:r>
      <w:r w:rsidR="004052C4">
        <w:rPr>
          <w:sz w:val="28"/>
        </w:rPr>
        <w:tab/>
      </w:r>
      <w:r w:rsidR="004052C4">
        <w:rPr>
          <w:sz w:val="28"/>
        </w:rPr>
        <w:tab/>
      </w:r>
      <w:r w:rsidR="004052C4">
        <w:rPr>
          <w:sz w:val="28"/>
        </w:rPr>
        <w:tab/>
      </w:r>
      <w:r>
        <w:rPr>
          <w:sz w:val="28"/>
        </w:rPr>
        <w:t xml:space="preserve">              № </w:t>
      </w:r>
      <w:r w:rsidR="004052C4">
        <w:rPr>
          <w:sz w:val="28"/>
        </w:rPr>
        <w:t>596-п</w:t>
      </w:r>
    </w:p>
    <w:p w:rsidR="005C7560" w:rsidRDefault="005C7560">
      <w:pPr>
        <w:tabs>
          <w:tab w:val="left" w:pos="709"/>
        </w:tabs>
        <w:jc w:val="both"/>
        <w:rPr>
          <w:sz w:val="28"/>
        </w:rPr>
      </w:pPr>
    </w:p>
    <w:p w:rsidR="005C7560" w:rsidRDefault="005C7560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5C7560" w:rsidRDefault="00B50A47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5C7560" w:rsidRDefault="00B50A47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Безлыченское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Захаровского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</w:p>
    <w:bookmarkEnd w:id="0"/>
    <w:p w:rsidR="005C7560" w:rsidRDefault="005C7560">
      <w:pPr>
        <w:tabs>
          <w:tab w:val="left" w:pos="709"/>
        </w:tabs>
        <w:jc w:val="center"/>
      </w:pPr>
    </w:p>
    <w:p w:rsidR="005C7560" w:rsidRDefault="00B50A47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>Градостроительного кодекса Российской Федерации, статьи 2 Закона Рязанской област</w:t>
      </w:r>
      <w:r>
        <w:rPr>
          <w:sz w:val="28"/>
          <w:szCs w:val="28"/>
        </w:rPr>
        <w:t>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</w:t>
      </w:r>
      <w:r>
        <w:rPr>
          <w:sz w:val="28"/>
          <w:szCs w:val="28"/>
        </w:rPr>
        <w:t>ской области», с</w:t>
      </w:r>
      <w:r>
        <w:rPr>
          <w:sz w:val="28"/>
          <w:szCs w:val="28"/>
        </w:rPr>
        <w:t xml:space="preserve"> учетом заключения</w:t>
      </w:r>
      <w:r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02.06.2025 по</w:t>
      </w:r>
      <w:r>
        <w:rPr>
          <w:sz w:val="28"/>
          <w:szCs w:val="28"/>
          <w:highlight w:val="white"/>
        </w:rPr>
        <w:t xml:space="preserve"> проекту генера</w:t>
      </w:r>
      <w:r>
        <w:rPr>
          <w:sz w:val="28"/>
          <w:szCs w:val="28"/>
        </w:rPr>
        <w:t xml:space="preserve">льного плана муниципального образования –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Безлыченское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Захаровского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муниципального района Рязанской облас</w:t>
      </w:r>
      <w:r>
        <w:rPr>
          <w:rFonts w:eastAsia="Times New Roman" w:cs="Times New Roman"/>
          <w:color w:val="auto"/>
          <w:sz w:val="28"/>
        </w:rPr>
        <w:t>т</w:t>
      </w:r>
      <w:r>
        <w:rPr>
          <w:color w:val="000000" w:themeColor="text1"/>
          <w:sz w:val="28"/>
        </w:rPr>
        <w:t>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постановлением Правительства Рязанской области </w:t>
      </w:r>
      <w:r>
        <w:rPr>
          <w:sz w:val="28"/>
          <w:szCs w:val="28"/>
        </w:rPr>
        <w:br/>
        <w:t>от 06.08.2008 № 153 «Об утверждении Положения о главном управлении архитект</w:t>
      </w:r>
      <w:r>
        <w:rPr>
          <w:color w:val="000000" w:themeColor="text1"/>
          <w:sz w:val="28"/>
          <w:szCs w:val="28"/>
        </w:rPr>
        <w:t>уры 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главное управление архитектуры и градостроительства Рязанской области </w:t>
      </w:r>
      <w:r>
        <w:rPr>
          <w:sz w:val="28"/>
          <w:szCs w:val="28"/>
        </w:rPr>
        <w:t>ПОСТАНОВЛЯЕТ:</w:t>
      </w:r>
    </w:p>
    <w:p w:rsidR="005C7560" w:rsidRDefault="00B50A47" w:rsidP="00B50A47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генеральный план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Безлыченское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Захаровского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5C7560" w:rsidRDefault="00B50A47" w:rsidP="00B50A47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C7560" w:rsidRDefault="00B50A47" w:rsidP="00B50A47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«Центр градостроительного развития Рязанской области»:</w:t>
      </w:r>
    </w:p>
    <w:p w:rsidR="005C7560" w:rsidRDefault="00B50A47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</w:t>
      </w:r>
      <w:r>
        <w:rPr>
          <w:rFonts w:ascii="Times New Roman" w:hAnsi="Times New Roman"/>
          <w:color w:val="auto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Безлыченское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Захаровского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</w:t>
      </w:r>
      <w:r>
        <w:rPr>
          <w:rFonts w:ascii="Times New Roman" w:hAnsi="Times New Roman"/>
          <w:sz w:val="28"/>
        </w:rPr>
        <w:br/>
        <w:t>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системе территориального планирования и размещение в государственных информационных системах обеспечения градостроительной</w:t>
      </w:r>
      <w:r>
        <w:rPr>
          <w:rFonts w:ascii="Times New Roman" w:hAnsi="Times New Roman"/>
          <w:color w:val="auto"/>
          <w:sz w:val="28"/>
          <w:szCs w:val="28"/>
        </w:rPr>
        <w:t xml:space="preserve">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Федерации;</w:t>
      </w:r>
    </w:p>
    <w:p w:rsidR="005C7560" w:rsidRDefault="00B50A4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подготовить, заверить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ации прав, ведение Единого государственного реестра недвижимости, сведения о границах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 xml:space="preserve">от 13.07.2015 № 218-ФЗ «О государственной регистрации </w:t>
      </w:r>
      <w:r>
        <w:rPr>
          <w:rFonts w:ascii="Times New Roman" w:hAnsi="Times New Roman"/>
          <w:color w:val="auto"/>
          <w:sz w:val="28"/>
          <w:highlight w:val="white"/>
        </w:rPr>
        <w:t>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5C7560" w:rsidRDefault="00B50A47" w:rsidP="00B50A47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5C7560" w:rsidRDefault="00B50A4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5C7560" w:rsidRDefault="00B50A4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5C7560" w:rsidRDefault="00B50A47" w:rsidP="00B50A47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</w:t>
      </w:r>
      <w:r>
        <w:rPr>
          <w:rFonts w:ascii="Times New Roman" w:hAnsi="Times New Roman"/>
          <w:sz w:val="28"/>
          <w:szCs w:val="28"/>
        </w:rPr>
        <w:t>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5C7560" w:rsidRDefault="00B50A47" w:rsidP="00B50A47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Захаровский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Рязанской области, г</w:t>
      </w:r>
      <w:r>
        <w:rPr>
          <w:rFonts w:ascii="Times New Roman" w:hAnsi="Times New Roman"/>
          <w:sz w:val="28"/>
          <w:szCs w:val="28"/>
        </w:rPr>
        <w:t xml:space="preserve">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Безлыченское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Захаровского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</w:t>
      </w:r>
      <w:r>
        <w:rPr>
          <w:rFonts w:ascii="Times New Roman" w:hAnsi="Times New Roman"/>
          <w:sz w:val="28"/>
          <w:szCs w:val="28"/>
        </w:rPr>
        <w:t>ания в сети «Интернет», публ</w:t>
      </w:r>
      <w:r>
        <w:rPr>
          <w:rFonts w:ascii="Times New Roman" w:hAnsi="Times New Roman"/>
          <w:sz w:val="28"/>
          <w:szCs w:val="28"/>
          <w:highlight w:val="white"/>
        </w:rPr>
        <w:t>икацию в средствах массовой информации.</w:t>
      </w:r>
    </w:p>
    <w:p w:rsidR="005C7560" w:rsidRDefault="00B50A47" w:rsidP="00B50A47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не подлежащими применению</w:t>
      </w:r>
      <w:r>
        <w:rPr>
          <w:rFonts w:ascii="Times New Roman" w:hAnsi="Times New Roman"/>
          <w:sz w:val="28"/>
          <w:highlight w:val="white"/>
        </w:rPr>
        <w:t xml:space="preserve"> решение Совета депутатов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Безлыченское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Захаровского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highlight w:val="white"/>
        </w:rPr>
        <w:t xml:space="preserve"> от 26.12.2013 № 46 </w:t>
      </w:r>
      <w:r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>Об утверждении генерал</w:t>
      </w:r>
      <w:r>
        <w:rPr>
          <w:rFonts w:ascii="Times New Roman" w:hAnsi="Times New Roman"/>
          <w:sz w:val="28"/>
          <w:highlight w:val="white"/>
        </w:rPr>
        <w:t xml:space="preserve">ьного плана поселения», решение Совета депутатов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Безлыченское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Захаровского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highlight w:val="white"/>
        </w:rPr>
        <w:t xml:space="preserve"> от 08.02.2013 № 28 </w:t>
      </w:r>
      <w:r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 xml:space="preserve">Об утверждении генерального плана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Безлыченского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Захар</w:t>
      </w:r>
      <w:r>
        <w:rPr>
          <w:rFonts w:ascii="Times New Roman" w:hAnsi="Times New Roman"/>
          <w:sz w:val="28"/>
          <w:szCs w:val="28"/>
          <w:highlight w:val="white"/>
        </w:rPr>
        <w:t>овского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области».</w:t>
      </w:r>
    </w:p>
    <w:p w:rsidR="005C7560" w:rsidRDefault="00B50A47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  <w:highlight w:val="white"/>
        </w:rPr>
        <w:t>на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5C7560" w:rsidRDefault="005C7560">
      <w:pPr>
        <w:tabs>
          <w:tab w:val="left" w:pos="709"/>
        </w:tabs>
        <w:jc w:val="both"/>
        <w:rPr>
          <w:sz w:val="28"/>
        </w:rPr>
      </w:pPr>
    </w:p>
    <w:p w:rsidR="005C7560" w:rsidRDefault="005C7560">
      <w:pPr>
        <w:tabs>
          <w:tab w:val="left" w:pos="709"/>
        </w:tabs>
        <w:jc w:val="both"/>
        <w:rPr>
          <w:sz w:val="28"/>
          <w:szCs w:val="28"/>
        </w:rPr>
      </w:pPr>
    </w:p>
    <w:p w:rsidR="005C7560" w:rsidRDefault="00B50A47">
      <w:pPr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ачальник                                                                                                    Р.В. Шашкин</w:t>
      </w:r>
    </w:p>
    <w:p w:rsidR="005C7560" w:rsidRDefault="00B50A47">
      <w:pPr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</w:p>
    <w:p w:rsidR="005C7560" w:rsidRDefault="005C7560">
      <w:pPr>
        <w:tabs>
          <w:tab w:val="left" w:pos="709"/>
        </w:tabs>
        <w:jc w:val="both"/>
        <w:rPr>
          <w:color w:val="auto"/>
          <w:sz w:val="28"/>
          <w:szCs w:val="28"/>
        </w:rPr>
      </w:pPr>
    </w:p>
    <w:p w:rsidR="005C7560" w:rsidRDefault="005C7560">
      <w:pPr>
        <w:tabs>
          <w:tab w:val="left" w:pos="709"/>
        </w:tabs>
        <w:jc w:val="both"/>
        <w:rPr>
          <w:color w:val="auto"/>
          <w:sz w:val="28"/>
          <w:szCs w:val="28"/>
        </w:rPr>
      </w:pPr>
    </w:p>
    <w:p w:rsidR="005C7560" w:rsidRDefault="005C7560"/>
    <w:sectPr w:rsidR="005C7560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A47" w:rsidRDefault="00B50A47">
      <w:r>
        <w:separator/>
      </w:r>
    </w:p>
  </w:endnote>
  <w:endnote w:type="continuationSeparator" w:id="0">
    <w:p w:rsidR="00B50A47" w:rsidRDefault="00B5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A47" w:rsidRDefault="00B50A47">
      <w:r>
        <w:separator/>
      </w:r>
    </w:p>
  </w:footnote>
  <w:footnote w:type="continuationSeparator" w:id="0">
    <w:p w:rsidR="00B50A47" w:rsidRDefault="00B50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560" w:rsidRDefault="00B50A47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4052C4" w:rsidRPr="004052C4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5C7560" w:rsidRDefault="005C756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93404"/>
    <w:multiLevelType w:val="multilevel"/>
    <w:tmpl w:val="357667C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60"/>
    <w:rsid w:val="004052C4"/>
    <w:rsid w:val="005C7560"/>
    <w:rsid w:val="00B5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8BF9"/>
  <w15:docId w15:val="{624161BB-184F-495A-B301-47040555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293</cp:revision>
  <cp:lastPrinted>2025-07-28T07:38:00Z</cp:lastPrinted>
  <dcterms:created xsi:type="dcterms:W3CDTF">2025-07-28T07:37:00Z</dcterms:created>
  <dcterms:modified xsi:type="dcterms:W3CDTF">2025-07-28T07:43:00Z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