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3111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Карта градостроительного зонирования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FF6" w:rsidRDefault="00B74FF6">
      <w:pPr>
        <w:spacing w:after="0" w:line="240" w:lineRule="auto"/>
      </w:pPr>
      <w:r>
        <w:separator/>
      </w:r>
    </w:p>
  </w:endnote>
  <w:endnote w:type="continuationSeparator" w:id="0">
    <w:p w:rsidR="00B74FF6" w:rsidRDefault="00B7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FF6" w:rsidRDefault="00B74FF6">
      <w:pPr>
        <w:spacing w:after="0" w:line="240" w:lineRule="auto"/>
      </w:pPr>
      <w:r>
        <w:separator/>
      </w:r>
    </w:p>
  </w:footnote>
  <w:footnote w:type="continuationSeparator" w:id="0">
    <w:p w:rsidR="00B74FF6" w:rsidRDefault="00B74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31113"/>
    <w:rsid w:val="00B424D9"/>
    <w:rsid w:val="00B55578"/>
    <w:rsid w:val="00B74FF6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2025-07-03T12:14:00Z</dcterms:modified>
</cp:coreProperties>
</file>