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01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8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№3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78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я изменений</w:t>
        <w:br/>
        <w:t xml:space="preserve">в генеральный план 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Борисовское сельское поселение Александро-Невского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Борисовское сельское поселение Александро-Невского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администрации муниципального образования – Александро-Невский муниципальный район Рязанской области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, согласию ООО «Надежда»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.</w:t>
      </w:r>
      <w:r/>
    </w:p>
    <w:p>
      <w:pPr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04» августа 2025 г. </w:t>
        <w:br/>
        <w:t xml:space="preserve">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27» августа 2025 г.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05.08.2025 г. https://uag.ryazan.gov.ru/announcements (Главная —&gt; Анонсы и объявления —&gt; Проект внесения изменений в генеральный план Борисовское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сельское поселение </w:t>
        <w:br/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Александро-Невского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м.р. от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05.0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8.2025 г.).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: Рязанская область, 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Александро-Невский район, д. Борисовка, ул. Центральная, д. 105</w:t>
      </w:r>
      <w:r>
        <w:rPr>
          <w:rFonts w:eastAsia="Times New Roman" w:cs="Times New Roman"/>
          <w:color w:val="000000"/>
          <w:sz w:val="28"/>
          <w:szCs w:val="28"/>
        </w:rPr>
        <w:t xml:space="preserve"> в здании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в часы работы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с «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05»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августа 2025 г. </w:t>
        <w:br/>
        <w:t xml:space="preserve">по 1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1:45 час. «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19»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2025 г.</w:t>
      </w:r>
      <w:r>
        <w:rPr>
          <w:sz w:val="26"/>
          <w:szCs w:val="26"/>
        </w:rPr>
        <w:t xml:space="preserve">)</w:t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19.08.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rFonts w:eastAsia="Times New Roman" w:cs="Times New Roman"/>
          <w:color w:val="000000"/>
          <w:highlight w:val="none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с 11:30 час. по 11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:45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Александро-Невский район, </w:t>
        <w:br/>
        <w:t xml:space="preserve">д. Борисовка, ул. Центральная, д. 105</w:t>
      </w:r>
      <w:r>
        <w:rPr>
          <w:rFonts w:eastAsia="Times New Roman" w:cs="Times New Roman"/>
          <w:color w:val="000000"/>
          <w:sz w:val="28"/>
          <w:szCs w:val="28"/>
        </w:rPr>
        <w:t xml:space="preserve"> в здании администрации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.</w:t>
      </w:r>
      <w:r>
        <w:rPr>
          <w:rFonts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05» августа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19»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  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05» августа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г., с 09:00 час. по 17:00 час. </w:t>
        <w:br/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05» августа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«05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19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2025 г.).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57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107</cp:revision>
  <dcterms:created xsi:type="dcterms:W3CDTF">2024-05-31T06:53:00Z</dcterms:created>
  <dcterms:modified xsi:type="dcterms:W3CDTF">2025-08-01T13:59:55Z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