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22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422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администрации муниципального образования – Рязанский муниципальный район Рязанской области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  <w:br/>
        <w:t xml:space="preserve">по обращению Королева А.Ю.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«27» августа 2025 г. </w:t>
        <w:br/>
        <w:t xml:space="preserve">по «10» сентября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.08.2025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28.08.2025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Рязанская область, Рязанский район,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Алеканово,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ул. Придорожная (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около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стр. 27)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(посещение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«28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 </w:t>
        <w:br/>
        <w:t xml:space="preserve">по 10:15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сентября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).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03.09.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  <w:highlight w:val="yellow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highlight w:val="yellow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Алеканово,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ул. Придорожная (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около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стр. 27)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28»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«28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«03» сентября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28»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03» 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107</cp:revision>
  <dcterms:created xsi:type="dcterms:W3CDTF">2024-05-31T06:53:00Z</dcterms:created>
  <dcterms:modified xsi:type="dcterms:W3CDTF">2025-08-26T09:48:38Z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