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F01" w:rsidRDefault="006836BC">
      <w:pPr>
        <w:keepNext/>
        <w:spacing w:before="0" w:after="0"/>
        <w:ind w:left="5670"/>
        <w:jc w:val="left"/>
        <w:rPr>
          <w:kern w:val="2"/>
        </w:rPr>
      </w:pPr>
      <w:r>
        <w:rPr>
          <w:kern w:val="2"/>
        </w:rPr>
        <w:t>Утвержден</w:t>
      </w:r>
    </w:p>
    <w:p w:rsidR="001B3F01" w:rsidRDefault="006836BC">
      <w:pPr>
        <w:spacing w:before="0" w:after="0"/>
        <w:ind w:left="5670"/>
        <w:jc w:val="left"/>
      </w:pPr>
      <w:r>
        <w:t>постановлени</w:t>
      </w:r>
      <w:r>
        <w:rPr>
          <w:kern w:val="2"/>
        </w:rPr>
        <w:t>ем</w:t>
      </w:r>
      <w:r>
        <w:t xml:space="preserve"> главного управления</w:t>
      </w:r>
    </w:p>
    <w:p w:rsidR="001B3F01" w:rsidRDefault="006836BC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1B3F01" w:rsidRDefault="006836BC">
      <w:pPr>
        <w:keepNext/>
        <w:spacing w:before="0" w:after="0"/>
        <w:ind w:left="5670"/>
        <w:jc w:val="left"/>
      </w:pPr>
      <w:r>
        <w:t>Рязанской области</w:t>
      </w:r>
    </w:p>
    <w:p w:rsidR="001B3F01" w:rsidRDefault="00165C5D">
      <w:pPr>
        <w:keepNext/>
        <w:tabs>
          <w:tab w:val="left" w:pos="5100"/>
        </w:tabs>
        <w:spacing w:before="0" w:after="0"/>
        <w:ind w:left="5670"/>
        <w:jc w:val="left"/>
      </w:pPr>
      <w:r>
        <w:t>от 19 августа</w:t>
      </w:r>
      <w:r w:rsidR="006836BC">
        <w:t xml:space="preserve"> </w:t>
      </w:r>
      <w:r>
        <w:t>2025 г.</w:t>
      </w:r>
      <w:r w:rsidR="006836BC">
        <w:t xml:space="preserve"> №</w:t>
      </w:r>
      <w:r>
        <w:t xml:space="preserve"> 689-п</w:t>
      </w:r>
      <w:bookmarkStart w:id="0" w:name="_GoBack"/>
      <w:bookmarkEnd w:id="0"/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6836BC">
      <w:pPr>
        <w:pStyle w:val="a0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1B3F01" w:rsidRDefault="006836BC">
      <w:pPr>
        <w:pStyle w:val="a0"/>
        <w:spacing w:after="6"/>
        <w:ind w:firstLine="0"/>
        <w:jc w:val="center"/>
      </w:pPr>
      <w:r>
        <w:rPr>
          <w:kern w:val="2"/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rFonts w:eastAsia="Calibri" w:cs="Calibri"/>
          <w:color w:val="auto"/>
          <w:sz w:val="32"/>
          <w:szCs w:val="32"/>
        </w:rPr>
        <w:t>Касимовский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муниципальный округ Рязанской области применительно к территориям Токаревского </w:t>
      </w:r>
      <w:r>
        <w:rPr>
          <w:rFonts w:eastAsia="Calibri" w:cs="Calibri"/>
          <w:color w:val="auto"/>
          <w:sz w:val="32"/>
          <w:szCs w:val="32"/>
        </w:rPr>
        <w:br/>
        <w:t xml:space="preserve">и </w:t>
      </w:r>
      <w:proofErr w:type="spellStart"/>
      <w:r>
        <w:rPr>
          <w:rFonts w:eastAsia="Calibri" w:cs="Calibri"/>
          <w:color w:val="auto"/>
          <w:sz w:val="32"/>
          <w:szCs w:val="32"/>
        </w:rPr>
        <w:t>Шостьинского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сельских округов </w:t>
      </w:r>
      <w:proofErr w:type="spellStart"/>
      <w:r>
        <w:rPr>
          <w:rFonts w:eastAsia="Calibri" w:cs="Calibri"/>
          <w:color w:val="auto"/>
          <w:sz w:val="32"/>
          <w:szCs w:val="32"/>
        </w:rPr>
        <w:t>Касимовского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района  </w:t>
      </w:r>
    </w:p>
    <w:p w:rsidR="001B3F01" w:rsidRDefault="006836BC">
      <w:pPr>
        <w:pStyle w:val="a0"/>
        <w:spacing w:after="6"/>
        <w:ind w:firstLine="0"/>
        <w:jc w:val="center"/>
      </w:pPr>
      <w:r>
        <w:rPr>
          <w:rFonts w:eastAsia="Calibri" w:cs="Calibri"/>
          <w:color w:val="auto"/>
          <w:sz w:val="32"/>
          <w:szCs w:val="32"/>
        </w:rPr>
        <w:t xml:space="preserve">Рязанской области </w:t>
      </w:r>
    </w:p>
    <w:p w:rsidR="001B3F01" w:rsidRDefault="006836BC">
      <w:pPr>
        <w:pStyle w:val="a0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B3F01" w:rsidRDefault="001B3F01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1B3F01" w:rsidRDefault="006836BC">
      <w:pPr>
        <w:pStyle w:val="a0"/>
        <w:keepNext/>
        <w:spacing w:after="6"/>
        <w:ind w:firstLine="0"/>
        <w:jc w:val="center"/>
        <w:rPr>
          <w:sz w:val="32"/>
          <w:szCs w:val="32"/>
        </w:rPr>
        <w:sectPr w:rsidR="001B3F0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1B3F01" w:rsidRDefault="006836BC">
      <w:pPr>
        <w:keepNext/>
        <w:widowControl w:val="0"/>
        <w:numPr>
          <w:ilvl w:val="0"/>
          <w:numId w:val="2"/>
        </w:numPr>
        <w:spacing w:before="0" w:after="0"/>
        <w:ind w:left="709"/>
        <w:jc w:val="left"/>
      </w:pPr>
      <w:r>
        <w:rPr>
          <w:b/>
          <w:bCs/>
          <w:sz w:val="28"/>
          <w:szCs w:val="28"/>
          <w:lang w:eastAsia="ru-RU"/>
        </w:rPr>
        <w:lastRenderedPageBreak/>
        <w:t>Введение</w:t>
      </w:r>
    </w:p>
    <w:p w:rsidR="001B3F01" w:rsidRDefault="006836BC">
      <w:pPr>
        <w:widowControl w:val="0"/>
        <w:numPr>
          <w:ilvl w:val="0"/>
          <w:numId w:val="2"/>
        </w:numPr>
        <w:spacing w:before="240" w:after="0"/>
        <w:ind w:firstLine="709"/>
        <w:jc w:val="both"/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</w:t>
      </w:r>
      <w:r>
        <w:rPr>
          <w:iCs/>
          <w:sz w:val="28"/>
          <w:szCs w:val="28"/>
          <w:lang w:eastAsia="ru-RU"/>
        </w:rPr>
        <w:t>–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Касимовский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Шостьинского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сельских округов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Касимовского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района Рязанской области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iCs/>
          <w:sz w:val="28"/>
          <w:szCs w:val="28"/>
          <w:lang w:eastAsia="ru-RU"/>
        </w:rPr>
        <w:t>далее – генеральный план</w:t>
      </w:r>
      <w:r>
        <w:rPr>
          <w:iCs/>
          <w:sz w:val="28"/>
          <w:szCs w:val="28"/>
          <w:shd w:val="clear" w:color="auto" w:fill="FFFFFF"/>
          <w:lang w:eastAsia="ru-RU"/>
        </w:rPr>
        <w:t>) подготовлен на основании постановления главного управления архитектуры и градостроительства Рязанской области от 12.02.2025 № 111-п,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Рязанской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 «</w:t>
      </w:r>
      <w:r>
        <w:rPr>
          <w:iCs/>
          <w:sz w:val="28"/>
          <w:szCs w:val="28"/>
          <w:shd w:val="clear" w:color="auto" w:fill="FFFFFF"/>
          <w:lang w:eastAsia="ru-RU"/>
        </w:rPr>
        <w:t>О преобразовании муниципальных образований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области путем объединения поселений, входящих в состав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1B3F01" w:rsidRDefault="001B3F01">
      <w:pPr>
        <w:pStyle w:val="1"/>
        <w:ind w:firstLine="709"/>
      </w:pPr>
    </w:p>
    <w:p w:rsidR="001B3F01" w:rsidRDefault="006836BC">
      <w:pPr>
        <w:pStyle w:val="1"/>
        <w:numPr>
          <w:ilvl w:val="0"/>
          <w:numId w:val="0"/>
        </w:numPr>
        <w:ind w:firstLine="709"/>
      </w:pPr>
      <w:r>
        <w:br w:type="page"/>
      </w:r>
    </w:p>
    <w:p w:rsidR="001B3F01" w:rsidRDefault="006836BC">
      <w:pPr>
        <w:pStyle w:val="1"/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1B3F01" w:rsidRDefault="001B3F01">
      <w:pPr>
        <w:pStyle w:val="a0"/>
        <w:numPr>
          <w:ilvl w:val="0"/>
          <w:numId w:val="2"/>
        </w:numPr>
        <w:rPr>
          <w:color w:val="FF3838"/>
          <w:szCs w:val="28"/>
        </w:rPr>
      </w:pPr>
    </w:p>
    <w:p w:rsidR="001B3F01" w:rsidRDefault="006836BC">
      <w:pPr>
        <w:pStyle w:val="a0"/>
        <w:numPr>
          <w:ilvl w:val="0"/>
          <w:numId w:val="2"/>
        </w:numPr>
        <w:suppressLineNumbers/>
        <w:ind w:firstLine="680"/>
        <w:contextualSpacing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kern w:val="2"/>
          <w:szCs w:val="28"/>
        </w:rPr>
        <w:t xml:space="preserve">муниципального образования </w:t>
      </w:r>
      <w:r>
        <w:rPr>
          <w:rStyle w:val="20"/>
          <w:bCs/>
          <w:iCs/>
          <w:spacing w:val="5"/>
          <w:kern w:val="2"/>
          <w:szCs w:val="28"/>
          <w:lang w:eastAsia="ru-RU"/>
        </w:rPr>
        <w:t>–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Касимовский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Шостьинского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сельских округов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Касимовского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района Рязанской области не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планируется размещение объектов местного значения.</w:t>
      </w:r>
    </w:p>
    <w:p w:rsidR="001B3F01" w:rsidRDefault="001B3F01">
      <w:pPr>
        <w:pStyle w:val="a0"/>
        <w:numPr>
          <w:ilvl w:val="0"/>
          <w:numId w:val="2"/>
        </w:numPr>
        <w:suppressLineNumbers/>
        <w:ind w:firstLine="680"/>
        <w:contextualSpacing/>
        <w:rPr>
          <w:szCs w:val="28"/>
        </w:rPr>
      </w:pPr>
    </w:p>
    <w:p w:rsidR="001B3F01" w:rsidRDefault="006836BC">
      <w:pPr>
        <w:pStyle w:val="1"/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B3F01" w:rsidRDefault="001B3F01">
      <w:pPr>
        <w:pStyle w:val="a0"/>
        <w:numPr>
          <w:ilvl w:val="0"/>
          <w:numId w:val="2"/>
        </w:numPr>
        <w:rPr>
          <w:color w:val="FF3838"/>
          <w:szCs w:val="28"/>
        </w:rPr>
      </w:pPr>
    </w:p>
    <w:p w:rsidR="001B3F01" w:rsidRDefault="006836BC">
      <w:pPr>
        <w:pStyle w:val="a0"/>
        <w:numPr>
          <w:ilvl w:val="0"/>
          <w:numId w:val="2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Касимовский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szCs w:val="28"/>
        </w:rPr>
        <w:t>Шостьинского</w:t>
      </w:r>
      <w:proofErr w:type="spellEnd"/>
      <w:r>
        <w:rPr>
          <w:szCs w:val="28"/>
        </w:rPr>
        <w:t xml:space="preserve"> сельских округов </w:t>
      </w:r>
      <w:proofErr w:type="spellStart"/>
      <w:r>
        <w:rPr>
          <w:szCs w:val="28"/>
        </w:rPr>
        <w:t>Касимовского</w:t>
      </w:r>
      <w:proofErr w:type="spellEnd"/>
      <w:r>
        <w:rPr>
          <w:szCs w:val="28"/>
        </w:rPr>
        <w:t xml:space="preserve"> района Рязанской области учитывал</w:t>
      </w:r>
      <w:r>
        <w:rPr>
          <w:kern w:val="2"/>
          <w:szCs w:val="28"/>
        </w:rPr>
        <w:t>ось:</w:t>
      </w:r>
    </w:p>
    <w:p w:rsidR="001B3F01" w:rsidRDefault="006836BC">
      <w:pPr>
        <w:pStyle w:val="a0"/>
        <w:numPr>
          <w:ilvl w:val="0"/>
          <w:numId w:val="2"/>
        </w:numPr>
        <w:ind w:firstLine="624"/>
      </w:pPr>
      <w:r>
        <w:rPr>
          <w:kern w:val="2"/>
          <w:szCs w:val="28"/>
        </w:rPr>
        <w:t>-</w:t>
      </w:r>
      <w:r>
        <w:rPr>
          <w:szCs w:val="28"/>
        </w:rPr>
        <w:t xml:space="preserve"> сложивш</w:t>
      </w:r>
      <w:r>
        <w:rPr>
          <w:kern w:val="2"/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kern w:val="2"/>
          <w:szCs w:val="28"/>
        </w:rPr>
        <w:t>е</w:t>
      </w:r>
      <w:r>
        <w:rPr>
          <w:szCs w:val="28"/>
        </w:rPr>
        <w:t xml:space="preserve"> земельных </w:t>
      </w:r>
      <w:r>
        <w:rPr>
          <w:kern w:val="2"/>
          <w:szCs w:val="28"/>
        </w:rPr>
        <w:t>участков;</w:t>
      </w:r>
    </w:p>
    <w:p w:rsidR="001B3F01" w:rsidRDefault="006836BC">
      <w:pPr>
        <w:pStyle w:val="a0"/>
        <w:numPr>
          <w:ilvl w:val="0"/>
          <w:numId w:val="2"/>
        </w:numPr>
        <w:ind w:firstLine="624"/>
        <w:rPr>
          <w:kern w:val="2"/>
          <w:szCs w:val="28"/>
        </w:rPr>
      </w:pPr>
      <w:r>
        <w:rPr>
          <w:kern w:val="2"/>
          <w:szCs w:val="28"/>
        </w:rPr>
        <w:t>- рациональные формы расселения населения;</w:t>
      </w:r>
    </w:p>
    <w:p w:rsidR="001B3F01" w:rsidRDefault="006836BC">
      <w:pPr>
        <w:pStyle w:val="a0"/>
        <w:numPr>
          <w:ilvl w:val="0"/>
          <w:numId w:val="2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1B3F01" w:rsidRDefault="006836BC">
      <w:pPr>
        <w:pStyle w:val="a0"/>
        <w:numPr>
          <w:ilvl w:val="0"/>
          <w:numId w:val="2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1B3F01" w:rsidRDefault="006836BC">
      <w:pPr>
        <w:pStyle w:val="a0"/>
        <w:numPr>
          <w:ilvl w:val="0"/>
          <w:numId w:val="2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1B3F01" w:rsidRDefault="006836BC">
      <w:pPr>
        <w:pStyle w:val="a0"/>
        <w:numPr>
          <w:ilvl w:val="0"/>
          <w:numId w:val="2"/>
        </w:numPr>
        <w:ind w:firstLine="709"/>
        <w:contextualSpacing/>
        <w:rPr>
          <w:iCs/>
          <w:spacing w:val="5"/>
          <w:kern w:val="2"/>
          <w:szCs w:val="28"/>
        </w:rPr>
      </w:pPr>
      <w:r>
        <w:rPr>
          <w:rStyle w:val="20"/>
          <w:iCs/>
          <w:spacing w:val="5"/>
          <w:kern w:val="2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kern w:val="2"/>
          <w:szCs w:val="28"/>
          <w:lang w:eastAsia="ar-SA"/>
        </w:rPr>
        <w:t>-</w:t>
      </w:r>
      <w:r>
        <w:rPr>
          <w:rStyle w:val="20"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iCs/>
          <w:spacing w:val="5"/>
          <w:kern w:val="2"/>
          <w:szCs w:val="28"/>
        </w:rPr>
        <w:t>Касимовский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Style w:val="20"/>
          <w:iCs/>
          <w:spacing w:val="5"/>
          <w:kern w:val="2"/>
          <w:szCs w:val="28"/>
        </w:rPr>
        <w:t>Шостьинского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сельских округов </w:t>
      </w:r>
      <w:proofErr w:type="spellStart"/>
      <w:r>
        <w:rPr>
          <w:rStyle w:val="20"/>
          <w:iCs/>
          <w:spacing w:val="5"/>
          <w:kern w:val="2"/>
          <w:szCs w:val="28"/>
        </w:rPr>
        <w:t>Касимовского</w:t>
      </w:r>
      <w:proofErr w:type="spellEnd"/>
      <w:r>
        <w:rPr>
          <w:rStyle w:val="20"/>
          <w:iCs/>
          <w:spacing w:val="5"/>
          <w:kern w:val="2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620A78" w:rsidRDefault="00620A78">
      <w:pPr>
        <w:pStyle w:val="a0"/>
        <w:ind w:firstLine="0"/>
        <w:jc w:val="right"/>
      </w:pPr>
    </w:p>
    <w:p w:rsidR="00620A78" w:rsidRDefault="00620A78">
      <w:pPr>
        <w:pStyle w:val="a0"/>
        <w:ind w:firstLine="0"/>
        <w:jc w:val="right"/>
      </w:pPr>
    </w:p>
    <w:p w:rsidR="00620A78" w:rsidRDefault="00620A78">
      <w:pPr>
        <w:pStyle w:val="a0"/>
        <w:ind w:firstLine="0"/>
        <w:jc w:val="right"/>
      </w:pPr>
    </w:p>
    <w:p w:rsidR="00620A78" w:rsidRDefault="00620A78">
      <w:pPr>
        <w:pStyle w:val="a0"/>
        <w:ind w:firstLine="0"/>
        <w:jc w:val="right"/>
      </w:pPr>
    </w:p>
    <w:p w:rsidR="00620A78" w:rsidRDefault="00620A78">
      <w:pPr>
        <w:pStyle w:val="a0"/>
        <w:ind w:firstLine="0"/>
        <w:jc w:val="right"/>
      </w:pPr>
    </w:p>
    <w:p w:rsidR="00620A78" w:rsidRDefault="00620A78">
      <w:pPr>
        <w:pStyle w:val="a0"/>
        <w:ind w:firstLine="0"/>
        <w:jc w:val="right"/>
      </w:pPr>
    </w:p>
    <w:p w:rsidR="00620A78" w:rsidRDefault="00620A78">
      <w:pPr>
        <w:pStyle w:val="a0"/>
        <w:ind w:firstLine="0"/>
        <w:jc w:val="right"/>
      </w:pPr>
    </w:p>
    <w:p w:rsidR="00620A78" w:rsidRDefault="00620A78">
      <w:pPr>
        <w:pStyle w:val="a0"/>
        <w:ind w:firstLine="0"/>
        <w:jc w:val="right"/>
      </w:pPr>
    </w:p>
    <w:p w:rsidR="001B3F01" w:rsidRDefault="006836BC">
      <w:pPr>
        <w:pStyle w:val="a0"/>
        <w:ind w:firstLine="0"/>
        <w:jc w:val="right"/>
      </w:pPr>
      <w:r>
        <w:lastRenderedPageBreak/>
        <w:t>Таблица 2.1</w:t>
      </w:r>
    </w:p>
    <w:tbl>
      <w:tblPr>
        <w:tblW w:w="99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984"/>
        <w:gridCol w:w="2844"/>
        <w:gridCol w:w="4556"/>
      </w:tblGrid>
      <w:tr w:rsidR="001B3F01" w:rsidTr="00620A78">
        <w:trPr>
          <w:trHeight w:val="454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№</w:t>
            </w:r>
          </w:p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Обозначение</w:t>
            </w:r>
          </w:p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Наименование</w:t>
            </w:r>
          </w:p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</w:t>
            </w:r>
            <w:r>
              <w:rPr>
                <w:kern w:val="2"/>
              </w:rPr>
              <w:t>азначение</w:t>
            </w:r>
          </w:p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 зоны</w:t>
            </w:r>
          </w:p>
        </w:tc>
      </w:tr>
      <w:tr w:rsidR="001B3F01" w:rsidTr="00620A78">
        <w:trPr>
          <w:trHeight w:val="568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B3F01" w:rsidRDefault="001B3F0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B3F01" w:rsidRDefault="001B3F0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B3F01" w:rsidRDefault="001B3F01">
            <w:pPr>
              <w:widowControl w:val="0"/>
              <w:snapToGrid w:val="0"/>
              <w:jc w:val="left"/>
              <w:rPr>
                <w:sz w:val="32"/>
                <w:szCs w:val="32"/>
              </w:rPr>
            </w:pPr>
          </w:p>
        </w:tc>
        <w:tc>
          <w:tcPr>
            <w:tcW w:w="4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B3F01" w:rsidRDefault="001B3F01">
            <w:pPr>
              <w:widowControl w:val="0"/>
              <w:snapToGrid w:val="0"/>
            </w:pPr>
          </w:p>
        </w:tc>
      </w:tr>
      <w:tr w:rsidR="001B3F01">
        <w:trPr>
          <w:trHeight w:val="14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5495" cy="38925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75pt;height:30.5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kern w:val="2"/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1B3F01">
        <w:trPr>
          <w:trHeight w:val="88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5495" cy="389255"/>
                      <wp:effectExtent l="0" t="0" r="0" b="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00c5" stroked="t" style="position:absolute;margin-left:18.45pt;margin-top:3.95pt;width:61.75pt;height:30.55pt;v-text-anchor:middle">
                      <w10:wrap type="none"/>
                      <v:fill o:detectmouseclick="t" type="solid" color2="#00ff3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</w:t>
            </w:r>
            <w:r>
              <w:rPr>
                <w:rStyle w:val="20"/>
                <w:sz w:val="24"/>
                <w:shd w:val="clear" w:color="auto" w:fill="FFFFFF"/>
                <w:lang w:eastAsia="ar-SA"/>
              </w:rPr>
              <w:t xml:space="preserve"> предназначены для размещения объектов делового, общественного и коммерческого назначения, образования, научно-исследовательских учреждений, объектов здравоохранения, социального обеспечения, лечебно-профилактических и оздоровительных объектов.</w:t>
            </w:r>
          </w:p>
        </w:tc>
      </w:tr>
      <w:tr w:rsidR="001B3F01">
        <w:trPr>
          <w:trHeight w:val="88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5495" cy="38925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1.75pt;height:30.5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1B3F01">
        <w:trPr>
          <w:trHeight w:val="2273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snapToGrid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85495" cy="379095"/>
                      <wp:effectExtent l="0" t="0" r="0" b="0"/>
                      <wp:wrapNone/>
                      <wp:docPr id="4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7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18.45pt;margin-top:3.15pt;width:61.75pt;height:29.7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 w:righ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1B3F01">
        <w:trPr>
          <w:trHeight w:val="2023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snapToGrid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85495" cy="379095"/>
                      <wp:effectExtent l="0" t="0" r="0" b="0"/>
                      <wp:wrapNone/>
                      <wp:docPr id="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7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fillcolor="#636382" stroked="t" style="position:absolute;margin-left:18.45pt;margin-top:3.15pt;width:61.75pt;height:29.7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энергоснабжения, теплоснабжения, газоснабжения, водоснабжения, водоотведения, очисткой стоков, связи.</w:t>
            </w:r>
          </w:p>
        </w:tc>
      </w:tr>
      <w:tr w:rsidR="001B3F01">
        <w:trPr>
          <w:trHeight w:val="9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4865" cy="428625"/>
                      <wp:effectExtent l="5080" t="5080" r="5080" b="5080"/>
                      <wp:wrapNone/>
                      <wp:docPr id="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400" cy="4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4.85pt;height:33.6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rPr>
                <w:rStyle w:val="20"/>
                <w:kern w:val="2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1B3F01" w:rsidTr="00620A78">
        <w:trPr>
          <w:trHeight w:val="3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759EA86" wp14:editId="2F86FB7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5495" cy="389255"/>
                      <wp:effectExtent l="0" t="0" r="0" b="0"/>
                      <wp:wrapNone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75pt;height:30.5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t xml:space="preserve"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</w:t>
            </w:r>
            <w:r>
              <w:lastRenderedPageBreak/>
              <w:t>предназначенных для этих целей.</w:t>
            </w:r>
          </w:p>
        </w:tc>
      </w:tr>
      <w:tr w:rsidR="001B3F01">
        <w:trPr>
          <w:trHeight w:val="73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5495" cy="389255"/>
                      <wp:effectExtent l="0" t="0" r="0" b="0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cdaa66" stroked="t" style="position:absolute;margin-left:18.45pt;margin-top:3.95pt;width:61.75pt;height:30.5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  <w:textAlignment w:val="baseline"/>
            </w:pPr>
            <w:r>
              <w:rPr>
                <w:sz w:val="24"/>
              </w:rPr>
              <w:t xml:space="preserve">Иные зоны сельскохозяйственного назначения предназначены для выращивания сельскохозяйственных культур, </w:t>
            </w:r>
            <w:r>
              <w:rPr>
                <w:rFonts w:eastAsia="Calibri" w:cs="Calibri"/>
                <w:sz w:val="24"/>
              </w:rPr>
              <w:t xml:space="preserve">размещения объектов сельскохозяйственного назначения, используемых для хранения и первичной переработки сельскохозяйственной продукции, </w:t>
            </w:r>
            <w:r>
              <w:rPr>
                <w:sz w:val="24"/>
              </w:rPr>
              <w:t>сенокошения, выпаса сельскохозяйственных животных в границах населенных пунктов.</w:t>
            </w:r>
          </w:p>
        </w:tc>
      </w:tr>
      <w:tr w:rsidR="001B3F01">
        <w:trPr>
          <w:trHeight w:val="73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5495" cy="389255"/>
                      <wp:effectExtent l="0" t="0" r="0" b="0"/>
                      <wp:wrapNone/>
                      <wp:docPr id="9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75pt;height:30.5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  <w:kern w:val="2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1B3F01">
        <w:trPr>
          <w:trHeight w:val="73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5495" cy="389255"/>
                      <wp:effectExtent l="0" t="0" r="0" b="0"/>
                      <wp:wrapNone/>
                      <wp:docPr id="10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38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75pt;height:30.5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rPr>
                <w:rStyle w:val="20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1B3F01">
        <w:trPr>
          <w:trHeight w:val="73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textAlignment w:val="baseline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360" cy="436245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spacing w:before="28" w:after="28"/>
              <w:ind w:left="57"/>
              <w:jc w:val="left"/>
              <w:textAlignment w:val="baseline"/>
            </w:pPr>
            <w:r>
      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</w:tbl>
    <w:p w:rsidR="001B3F01" w:rsidRDefault="001B3F01">
      <w:pPr>
        <w:pStyle w:val="a0"/>
        <w:rPr>
          <w:szCs w:val="28"/>
        </w:rPr>
      </w:pPr>
    </w:p>
    <w:p w:rsidR="001B3F01" w:rsidRDefault="006836BC">
      <w:pPr>
        <w:pStyle w:val="a0"/>
      </w:pPr>
      <w:r>
        <w:rPr>
          <w:szCs w:val="28"/>
        </w:rPr>
        <w:t>Функциональн</w:t>
      </w:r>
      <w:r>
        <w:rPr>
          <w:kern w:val="2"/>
        </w:rPr>
        <w:t>ое</w:t>
      </w:r>
      <w:r>
        <w:rPr>
          <w:szCs w:val="28"/>
        </w:rPr>
        <w:t xml:space="preserve"> зон</w:t>
      </w:r>
      <w:r>
        <w:rPr>
          <w:kern w:val="2"/>
        </w:rP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>Касимовский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>Шостьинского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сельских округов </w:t>
      </w:r>
      <w:proofErr w:type="spellStart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>Касимовского</w:t>
      </w:r>
      <w:proofErr w:type="spellEnd"/>
      <w:r>
        <w:rPr>
          <w:rStyle w:val="-"/>
          <w:bCs/>
          <w:iCs/>
          <w:color w:val="auto"/>
          <w:spacing w:val="5"/>
          <w:szCs w:val="28"/>
          <w:u w:val="none"/>
          <w:lang w:eastAsia="en-US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kern w:val="2"/>
          <w:u w:val="none"/>
        </w:rPr>
        <w:t>отображено на карте функциональных зон.</w:t>
      </w:r>
    </w:p>
    <w:p w:rsidR="001B3F01" w:rsidRDefault="006836BC">
      <w:pPr>
        <w:pStyle w:val="a0"/>
        <w:numPr>
          <w:ilvl w:val="0"/>
          <w:numId w:val="3"/>
        </w:numPr>
        <w:ind w:firstLine="709"/>
      </w:pPr>
      <w:r>
        <w:rPr>
          <w:rStyle w:val="-"/>
          <w:bCs/>
          <w:iCs/>
          <w:color w:val="000000"/>
          <w:kern w:val="2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>Касимовский</w:t>
      </w:r>
      <w:proofErr w:type="spellEnd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>Шостьинского</w:t>
      </w:r>
      <w:proofErr w:type="spellEnd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 xml:space="preserve"> сельских округов </w:t>
      </w:r>
      <w:proofErr w:type="spellStart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>Касимовского</w:t>
      </w:r>
      <w:proofErr w:type="spellEnd"/>
      <w:r>
        <w:rPr>
          <w:rStyle w:val="-"/>
          <w:bCs/>
          <w:iCs/>
          <w:color w:val="auto"/>
          <w:spacing w:val="5"/>
          <w:kern w:val="2"/>
          <w:szCs w:val="28"/>
          <w:u w:val="none"/>
          <w:lang w:eastAsia="ar-SA"/>
        </w:rPr>
        <w:t xml:space="preserve"> района Рязанской области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в таблице 2.2.</w:t>
      </w:r>
    </w:p>
    <w:p w:rsidR="001B3F01" w:rsidRDefault="006836BC">
      <w:pPr>
        <w:pStyle w:val="a0"/>
        <w:numPr>
          <w:ilvl w:val="0"/>
          <w:numId w:val="3"/>
        </w:numPr>
        <w:ind w:firstLine="709"/>
        <w:contextualSpacing/>
        <w:jc w:val="right"/>
        <w:rPr>
          <w:rFonts w:eastAsia="Arial"/>
          <w:spacing w:val="4"/>
          <w:szCs w:val="28"/>
          <w:shd w:val="clear" w:color="auto" w:fill="FFFFFF"/>
        </w:rPr>
      </w:pPr>
      <w:r>
        <w:rPr>
          <w:rFonts w:eastAsia="Arial"/>
          <w:spacing w:val="4"/>
          <w:szCs w:val="28"/>
          <w:shd w:val="clear" w:color="auto" w:fill="FFFFFF"/>
        </w:rPr>
        <w:t>Таблица 2.2</w:t>
      </w:r>
    </w:p>
    <w:tbl>
      <w:tblPr>
        <w:tblW w:w="9936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028"/>
        <w:gridCol w:w="1247"/>
        <w:gridCol w:w="1709"/>
        <w:gridCol w:w="1700"/>
        <w:gridCol w:w="1709"/>
      </w:tblGrid>
      <w:tr w:rsidR="001B3F01">
        <w:trPr>
          <w:trHeight w:val="845"/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F01" w:rsidRDefault="006836BC">
            <w:pPr>
              <w:pStyle w:val="ae"/>
              <w:widowControl w:val="0"/>
            </w:pPr>
            <w:r>
              <w:t>№</w:t>
            </w:r>
          </w:p>
          <w:p w:rsidR="001B3F01" w:rsidRDefault="006836BC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F01" w:rsidRDefault="006836BC">
            <w:pPr>
              <w:pStyle w:val="ae"/>
              <w:widowControl w:val="0"/>
            </w:pPr>
            <w:r>
              <w:t>Наименование</w:t>
            </w:r>
          </w:p>
          <w:p w:rsidR="001B3F01" w:rsidRDefault="006836BC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F01" w:rsidRDefault="006836BC">
            <w:pPr>
              <w:pStyle w:val="ae"/>
              <w:widowControl w:val="0"/>
            </w:pPr>
            <w:r>
              <w:t>Площадь,</w:t>
            </w:r>
          </w:p>
          <w:p w:rsidR="001B3F01" w:rsidRDefault="006836BC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F01" w:rsidRDefault="006836BC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F01" w:rsidRDefault="006836BC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01" w:rsidRDefault="006836BC">
            <w:pPr>
              <w:pStyle w:val="ae"/>
              <w:widowControl w:val="0"/>
              <w:textAlignment w:val="baseline"/>
            </w:pPr>
            <w:r>
              <w:t>Максимальная этажность</w:t>
            </w:r>
          </w:p>
        </w:tc>
      </w:tr>
      <w:tr w:rsidR="001B3F01">
        <w:trPr>
          <w:trHeight w:val="34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ind w:left="57"/>
              <w:jc w:val="left"/>
              <w:rPr>
                <w:kern w:val="2"/>
              </w:rPr>
            </w:pPr>
            <w:r>
              <w:rPr>
                <w:kern w:val="2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</w:pPr>
            <w:r>
              <w:t>870,87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1B3F01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B3F01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1B3F01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B3F01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1B3F01">
        <w:trPr>
          <w:trHeight w:val="34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jc w:val="left"/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F01" w:rsidRDefault="001B3F01">
            <w:pPr>
              <w:pStyle w:val="ae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1B3F0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widowControl w:val="0"/>
              <w:spacing w:before="0" w:after="0"/>
              <w:ind w:left="57"/>
              <w:jc w:val="left"/>
            </w:pPr>
            <w:r>
              <w:rPr>
                <w:color w:val="auto"/>
                <w:lang w:eastAsia="ar-SA"/>
              </w:rPr>
              <w:t>Общественно-деловые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</w:pPr>
            <w:r>
              <w:t>3,91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textAlignment w:val="baseline"/>
            </w:pPr>
            <w:r>
              <w:t>0,8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textAlignment w:val="baseline"/>
            </w:pPr>
            <w:r>
              <w:t>2,4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</w:pPr>
            <w:r>
              <w:t>-</w:t>
            </w:r>
          </w:p>
        </w:tc>
      </w:tr>
      <w:tr w:rsidR="001B3F0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11,16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textAlignment w:val="baseline"/>
            </w:pPr>
            <w:r>
              <w:t>0,8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textAlignment w:val="baseline"/>
            </w:pPr>
            <w:r>
              <w:t>2,4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</w:pPr>
            <w:r>
              <w:t>-</w:t>
            </w:r>
          </w:p>
        </w:tc>
      </w:tr>
      <w:tr w:rsidR="001B3F01">
        <w:trPr>
          <w:trHeight w:val="541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17,72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0,8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B3F0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ind w:left="57"/>
              <w:jc w:val="left"/>
              <w:textAlignment w:val="baseline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3,47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B3F0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ind w:left="57"/>
              <w:jc w:val="left"/>
              <w:textAlignment w:val="baseline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2,47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1B3F0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widowControl w:val="0"/>
              <w:suppressLineNumbers/>
              <w:spacing w:before="0" w:after="0"/>
              <w:ind w:left="57" w:right="113"/>
              <w:jc w:val="left"/>
              <w:textAlignment w:val="baseline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  <w:rPr>
                <w:color w:val="auto"/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8651,94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</w:pPr>
            <w:r>
              <w:t>-</w:t>
            </w:r>
          </w:p>
        </w:tc>
      </w:tr>
      <w:tr w:rsidR="001B3F0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  <w:textAlignment w:val="baseline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</w:pPr>
            <w:r>
              <w:t>13,18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1B3F0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ind w:left="57"/>
              <w:jc w:val="left"/>
              <w:textAlignment w:val="baseline"/>
            </w:pPr>
            <w:r>
              <w:t xml:space="preserve">Зона </w:t>
            </w:r>
            <w:r>
              <w:rPr>
                <w:kern w:val="2"/>
              </w:rPr>
              <w:t>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17634,54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1B3F01">
        <w:trPr>
          <w:trHeight w:val="51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0"/>
              <w:widowControl w:val="0"/>
              <w:suppressLineNumbers/>
              <w:tabs>
                <w:tab w:val="left" w:pos="680"/>
              </w:tabs>
              <w:overflowPunct w:val="0"/>
              <w:ind w:left="57" w:right="57" w:firstLine="0"/>
              <w:jc w:val="left"/>
              <w:textAlignment w:val="baseline"/>
            </w:pPr>
            <w:r>
              <w:rPr>
                <w:kern w:val="2"/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</w:pPr>
            <w:r>
              <w:t>5,57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1B3F01">
        <w:trPr>
          <w:trHeight w:val="51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ind w:left="57"/>
              <w:jc w:val="left"/>
              <w:textAlignment w:val="baseline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snapToGrid w:val="0"/>
              <w:textAlignment w:val="baseline"/>
              <w:rPr>
                <w:color w:val="auto"/>
              </w:rPr>
            </w:pPr>
            <w:r>
              <w:t>5,95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e"/>
              <w:widowControl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1B3F01">
        <w:trPr>
          <w:trHeight w:val="454"/>
        </w:trPr>
        <w:tc>
          <w:tcPr>
            <w:tcW w:w="9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1B3F01" w:rsidRDefault="006836BC">
            <w:pPr>
              <w:pStyle w:val="a0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1B3F01" w:rsidRDefault="001B3F01">
      <w:pPr>
        <w:pStyle w:val="a0"/>
        <w:ind w:firstLine="709"/>
        <w:rPr>
          <w:sz w:val="32"/>
          <w:szCs w:val="32"/>
        </w:rPr>
      </w:pPr>
    </w:p>
    <w:p w:rsidR="001B3F01" w:rsidRDefault="006836BC">
      <w:pPr>
        <w:pStyle w:val="a0"/>
        <w:numPr>
          <w:ilvl w:val="0"/>
          <w:numId w:val="2"/>
        </w:numPr>
        <w:suppressLineNumbers/>
        <w:ind w:firstLine="709"/>
        <w:contextualSpacing/>
      </w:pPr>
      <w:r>
        <w:rPr>
          <w:rStyle w:val="-"/>
          <w:iCs/>
          <w:color w:val="000000"/>
          <w:kern w:val="2"/>
          <w:szCs w:val="28"/>
          <w:u w:val="none"/>
          <w:lang w:eastAsia="ar-SA"/>
        </w:rPr>
        <w:lastRenderedPageBreak/>
        <w:t>На территории муниципального образования –</w:t>
      </w:r>
      <w:r>
        <w:rPr>
          <w:rStyle w:val="-"/>
          <w:iCs/>
          <w:color w:val="000000"/>
          <w:kern w:val="2"/>
          <w:szCs w:val="28"/>
          <w:u w:val="none"/>
        </w:rPr>
        <w:t xml:space="preserve"> </w:t>
      </w:r>
      <w:proofErr w:type="spellStart"/>
      <w:r>
        <w:rPr>
          <w:rStyle w:val="-"/>
          <w:iCs/>
          <w:color w:val="000000"/>
          <w:kern w:val="2"/>
          <w:szCs w:val="28"/>
          <w:u w:val="none"/>
        </w:rPr>
        <w:t>Касимовский</w:t>
      </w:r>
      <w:proofErr w:type="spellEnd"/>
      <w:r>
        <w:rPr>
          <w:rStyle w:val="-"/>
          <w:iCs/>
          <w:color w:val="000000"/>
          <w:kern w:val="2"/>
          <w:szCs w:val="28"/>
          <w:u w:val="none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Style w:val="-"/>
          <w:iCs/>
          <w:color w:val="000000"/>
          <w:kern w:val="2"/>
          <w:szCs w:val="28"/>
          <w:u w:val="none"/>
        </w:rPr>
        <w:t>Шостьинского</w:t>
      </w:r>
      <w:proofErr w:type="spellEnd"/>
      <w:r>
        <w:rPr>
          <w:rStyle w:val="-"/>
          <w:iCs/>
          <w:color w:val="000000"/>
          <w:kern w:val="2"/>
          <w:szCs w:val="28"/>
          <w:u w:val="none"/>
        </w:rPr>
        <w:t xml:space="preserve"> сельских округов </w:t>
      </w:r>
      <w:proofErr w:type="spellStart"/>
      <w:r>
        <w:rPr>
          <w:rStyle w:val="-"/>
          <w:iCs/>
          <w:color w:val="000000"/>
          <w:kern w:val="2"/>
          <w:szCs w:val="28"/>
          <w:u w:val="none"/>
        </w:rPr>
        <w:t>Касимовского</w:t>
      </w:r>
      <w:proofErr w:type="spellEnd"/>
      <w:r>
        <w:rPr>
          <w:rStyle w:val="-"/>
          <w:iCs/>
          <w:color w:val="000000"/>
          <w:kern w:val="2"/>
          <w:szCs w:val="28"/>
          <w:u w:val="none"/>
        </w:rPr>
        <w:t xml:space="preserve"> района Рязанской области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 утвержденными документами территориального планирования не планируется размещение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объектов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 федерального и регионального значения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.</w:t>
      </w:r>
    </w:p>
    <w:sectPr w:rsidR="001B3F0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73" w:rsidRDefault="00544873">
      <w:pPr>
        <w:spacing w:before="0" w:after="0"/>
      </w:pPr>
      <w:r>
        <w:separator/>
      </w:r>
    </w:p>
  </w:endnote>
  <w:endnote w:type="continuationSeparator" w:id="0">
    <w:p w:rsidR="00544873" w:rsidRDefault="005448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1B3F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1B3F0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1B3F0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1B3F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73" w:rsidRDefault="00544873">
      <w:pPr>
        <w:spacing w:before="0" w:after="0"/>
      </w:pPr>
      <w:r>
        <w:separator/>
      </w:r>
    </w:p>
  </w:footnote>
  <w:footnote w:type="continuationSeparator" w:id="0">
    <w:p w:rsidR="00544873" w:rsidRDefault="005448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1B3F0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1B3F0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6836BC">
    <w:pPr>
      <w:pStyle w:val="af1"/>
    </w:pPr>
    <w:r>
      <w:fldChar w:fldCharType="begin"/>
    </w:r>
    <w:r>
      <w:instrText>PAGE</w:instrText>
    </w:r>
    <w:r>
      <w:fldChar w:fldCharType="separate"/>
    </w:r>
    <w:r w:rsidR="00C1008E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01" w:rsidRDefault="006836BC">
    <w:pPr>
      <w:pStyle w:val="af1"/>
    </w:pPr>
    <w:r>
      <w:fldChar w:fldCharType="begin"/>
    </w:r>
    <w:r>
      <w:instrText>PAGE</w:instrText>
    </w:r>
    <w:r>
      <w:fldChar w:fldCharType="separate"/>
    </w:r>
    <w:r w:rsidR="00C1008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AD3"/>
    <w:multiLevelType w:val="multilevel"/>
    <w:tmpl w:val="83862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bCs/>
        <w:iCs/>
        <w:color w:val="000000"/>
        <w:kern w:val="2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624549"/>
    <w:multiLevelType w:val="multilevel"/>
    <w:tmpl w:val="A12A2EC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003376"/>
    <w:multiLevelType w:val="multilevel"/>
    <w:tmpl w:val="0254C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Cs/>
        <w:color w:val="000000"/>
        <w:spacing w:val="5"/>
        <w:kern w:val="0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3F01"/>
    <w:rsid w:val="00165C5D"/>
    <w:rsid w:val="001B3F01"/>
    <w:rsid w:val="00544873"/>
    <w:rsid w:val="00620A78"/>
    <w:rsid w:val="006836BC"/>
    <w:rsid w:val="00C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Times New Roman"/>
      <w:b/>
      <w:bCs/>
      <w:iCs/>
      <w:color w:val="000000"/>
      <w:spacing w:val="5"/>
      <w:kern w:val="0"/>
      <w:sz w:val="28"/>
      <w:szCs w:val="28"/>
      <w:lang w:val="ru-RU"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XO Thames;Times New Roman" w:cs="Times New Roman"/>
      <w:bCs/>
      <w:iCs/>
      <w:color w:val="000000"/>
      <w:kern w:val="2"/>
      <w:sz w:val="28"/>
      <w:szCs w:val="28"/>
      <w:lang w:val="ru-RU" w:eastAsia="ar-SA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0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next w:val="a0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rFonts w:ascii="Liberation Serif;Times New Roma" w:hAnsi="Liberation Serif;Times New Roma" w:cs="Mangal"/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rFonts w:ascii="Liberation Serif;Times New Roma" w:hAnsi="Liberation Serif;Times New Roma" w:cs="Mangal"/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 w:cs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Times New Roman"/>
      <w:b/>
      <w:bCs/>
      <w:iCs/>
      <w:color w:val="000000"/>
      <w:spacing w:val="5"/>
      <w:kern w:val="0"/>
      <w:sz w:val="28"/>
      <w:szCs w:val="28"/>
      <w:lang w:val="ru-RU"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XO Thames;Times New Roman" w:cs="Times New Roman"/>
      <w:bCs/>
      <w:iCs/>
      <w:color w:val="000000"/>
      <w:kern w:val="2"/>
      <w:sz w:val="28"/>
      <w:szCs w:val="28"/>
      <w:lang w:val="ru-RU" w:eastAsia="ar-SA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0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next w:val="a0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rFonts w:ascii="Liberation Serif;Times New Roma" w:hAnsi="Liberation Serif;Times New Roma" w:cs="Mangal"/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rFonts w:ascii="Liberation Serif;Times New Roma" w:hAnsi="Liberation Serif;Times New Roma" w:cs="Mangal"/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 w:cs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7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201</cp:revision>
  <cp:lastPrinted>2025-08-21T08:09:00Z</cp:lastPrinted>
  <dcterms:created xsi:type="dcterms:W3CDTF">2024-06-04T12:22:00Z</dcterms:created>
  <dcterms:modified xsi:type="dcterms:W3CDTF">2025-08-21T08:09:00Z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