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firstLine="0"/>
      </w:pPr>
      <w:r>
        <w:t xml:space="preserve">Утверждены</w:t>
      </w:r>
      <w:r/>
    </w:p>
    <w:p>
      <w:pPr>
        <w:ind w:left="5670" w:firstLine="0"/>
        <w:jc w:val="left"/>
      </w:pPr>
      <w:r>
        <w:rPr>
          <w:szCs w:val="24"/>
        </w:rPr>
        <w:t xml:space="preserve">постановлением главного управления</w:t>
      </w:r>
      <w:r/>
    </w:p>
    <w:p>
      <w:pPr>
        <w:ind w:left="5670" w:firstLine="0"/>
        <w:jc w:val="left"/>
      </w:pPr>
      <w:r>
        <w:rPr>
          <w:szCs w:val="24"/>
        </w:rPr>
        <w:t xml:space="preserve">архитектуры и градостроительства</w:t>
      </w:r>
      <w:r/>
    </w:p>
    <w:p>
      <w:pPr>
        <w:ind w:left="5670" w:firstLine="0"/>
        <w:jc w:val="left"/>
        <w:rPr>
          <w14:ligatures w14:val="none"/>
        </w:rPr>
      </w:pPr>
      <w:r>
        <w:t xml:space="preserve">Рязанской области</w:t>
      </w:r>
      <w:r/>
    </w:p>
    <w:p>
      <w:pPr>
        <w:ind w:left="5670" w:firstLine="0"/>
        <w:jc w:val="left"/>
      </w:pPr>
      <w:r>
        <w:t xml:space="preserve">от 16 сентября 2025 г. № 796-п</w:t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6"/>
        <w:ind w:firstLine="0"/>
        <w:jc w:val="center"/>
      </w:pPr>
      <w:r>
        <w:rPr>
          <w:sz w:val="32"/>
          <w:szCs w:val="32"/>
        </w:rPr>
        <w:t xml:space="preserve">ПРАВИЛА ЗЕМЛЕПОЛЬЗОВАНИЯ И ЗАСТРОЙКИ</w:t>
      </w:r>
      <w:r/>
    </w:p>
    <w:p>
      <w:pPr>
        <w:pStyle w:val="1116"/>
        <w:ind w:firstLine="0"/>
        <w:jc w:val="center"/>
      </w:pPr>
      <w:r>
        <w:rPr>
          <w:rFonts w:eastAsia="Times New Roman" w:cs="Times New Roman"/>
          <w:sz w:val="32"/>
          <w:szCs w:val="32"/>
          <w:lang w:eastAsia="ar-SA"/>
        </w:rPr>
        <w:t xml:space="preserve">муниципального образования – </w:t>
      </w:r>
      <w:r>
        <w:rPr>
          <w:rFonts w:eastAsia="Times New Roman" w:cs="Times New Roman"/>
          <w:sz w:val="32"/>
          <w:szCs w:val="32"/>
          <w:lang w:eastAsia="ar-SA"/>
        </w:rPr>
        <w:t xml:space="preserve">Касимовский</w:t>
      </w:r>
      <w:r>
        <w:rPr>
          <w:rFonts w:eastAsia="Times New Roman" w:cs="Times New Roman"/>
          <w:sz w:val="32"/>
          <w:szCs w:val="32"/>
          <w:lang w:eastAsia="ar-SA"/>
        </w:rPr>
        <w:t xml:space="preserve"> муниципальный округ Рязанской области применительно к территории </w:t>
      </w:r>
      <w:r>
        <w:rPr>
          <w:sz w:val="32"/>
          <w:szCs w:val="32"/>
        </w:rPr>
        <w:t xml:space="preserve">Торбаевского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сельского округа </w:t>
      </w:r>
      <w:r>
        <w:rPr>
          <w:rFonts w:eastAsia="Times New Roman" w:cs="Times New Roman"/>
          <w:sz w:val="32"/>
          <w:szCs w:val="32"/>
          <w:lang w:eastAsia="ar-SA"/>
        </w:rPr>
        <w:t xml:space="preserve">Касимовского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района Рязанской области</w:t>
      </w:r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6"/>
      </w:pPr>
      <w:r>
        <w:t xml:space="preserve">Содержание</w:t>
      </w:r>
      <w:r/>
    </w:p>
    <w:sdt>
      <w:sdtPr>
        <w15:appearance w15:val="boundingBox"/>
        <w:id w:val="198439777"/>
        <w:docPartObj>
          <w:docPartGallery w:val="Table of Contents"/>
          <w:docPartUnique w:val="true"/>
        </w:docPartObj>
        <w:rPr/>
      </w:sdtPr>
      <w:sdtContent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bookmarkStart w:id="0" w:name="_GoBack"/>
          <w:r/>
          <w:bookmarkEnd w:id="0"/>
          <w:r>
            <w:fldChar w:fldCharType="begin"/>
          </w:r>
          <w:r>
            <w:instrText xml:space="preserve">TOC \o "1-3" \h</w:instrText>
          </w:r>
          <w:r>
            <w:fldChar w:fldCharType="separate"/>
          </w:r>
          <w:hyperlink w:tooltip="#_Toc207982663" w:anchor="_Toc207982663" w:history="1">
            <w:r>
              <w:rPr>
                <w:rStyle w:val="1161"/>
                <w:rFonts w:eastAsia="Times New Roman"/>
                <w:spacing w:val="2"/>
                <w:lang w:eastAsia="ru-RU"/>
              </w:rPr>
              <w:t xml:space="preserve"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_Toc207982663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4" w:anchor="_Toc207982664" w:history="1">
            <w:r>
              <w:rPr>
                <w:rStyle w:val="1161"/>
              </w:rPr>
              <w:t xml:space="preserve"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_Toc207982664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5" w:anchor="_Toc207982665" w:history="1">
            <w:r>
              <w:rPr>
                <w:rStyle w:val="1161"/>
              </w:rPr>
              <w:t xml:space="preserve"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_Toc207982665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6" w:anchor="_Toc207982666" w:history="1">
            <w:r>
              <w:rPr>
                <w:rStyle w:val="1161"/>
              </w:rPr>
      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_Toc207982666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7" w:anchor="_Toc207982667" w:history="1">
            <w:r>
              <w:rPr>
                <w:rStyle w:val="1161"/>
              </w:rPr>
              <w:t xml:space="preserve"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_Toc207982667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8" w:anchor="_Toc207982668" w:history="1">
            <w:r>
              <w:rPr>
                <w:rStyle w:val="1161"/>
              </w:rPr>
              <w:t xml:space="preserve"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_Toc207982668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69" w:anchor="_Toc207982669" w:history="1">
            <w:r>
              <w:rPr>
                <w:rStyle w:val="1161"/>
              </w:rPr>
              <w:t xml:space="preserve"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_Toc207982669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0" w:anchor="_Toc207982670" w:history="1">
            <w:r>
              <w:rPr>
                <w:rStyle w:val="1161"/>
              </w:rPr>
              <w:t xml:space="preserve"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_Toc207982670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1" w:anchor="_Toc207982671" w:history="1">
            <w:r>
              <w:rPr>
                <w:rStyle w:val="1161"/>
              </w:rPr>
              <w:t xml:space="preserve"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_Toc207982671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2" w:anchor="_Toc207982672" w:history="1">
            <w:r>
              <w:rPr>
                <w:rStyle w:val="1161"/>
              </w:rPr>
              <w:t xml:space="preserve"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_Toc207982672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3" w:anchor="_Toc207982673" w:history="1">
            <w:r>
              <w:rPr>
                <w:rStyle w:val="1161"/>
              </w:rPr>
              <w:t xml:space="preserve"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_Toc207982673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4" w:anchor="_Toc207982674" w:history="1">
            <w:r>
              <w:rPr>
                <w:rStyle w:val="1161"/>
              </w:rPr>
              <w:t xml:space="preserve">Статья 10. Перечень территориальных зон, установленных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_Toc207982674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5" w:anchor="_Toc207982675" w:history="1">
            <w:r>
              <w:rPr>
                <w:rStyle w:val="1161"/>
              </w:rPr>
              <w:t xml:space="preserve">Статья 11.</w:t>
            </w:r>
            <w:r>
              <w:rPr>
                <w:rStyle w:val="1161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_Toc207982675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6" w:anchor="_Toc207982676" w:history="1">
            <w:r>
              <w:rPr>
                <w:rStyle w:val="1161"/>
              </w:rPr>
              <w:t xml:space="preserve">Статья 11.1. </w:t>
            </w:r>
            <w:r>
              <w:rPr>
                <w:rStyle w:val="1161"/>
                <w:rFonts w:eastAsia="Times New Roman"/>
                <w:lang w:eastAsia="ru-RU"/>
              </w:rPr>
              <w:t xml:space="preserve">Жилая зона</w:t>
            </w:r>
            <w:r>
              <w:rPr>
                <w:rStyle w:val="1161"/>
              </w:rPr>
              <w:t xml:space="preserve"> (1)</w:t>
            </w:r>
            <w:r>
              <w:tab/>
            </w:r>
            <w:r>
              <w:fldChar w:fldCharType="begin"/>
            </w:r>
            <w:r>
              <w:instrText xml:space="preserve"> PAGEREF _Toc207982676 \h </w:instrText>
            </w:r>
            <w:r/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7" w:anchor="_Toc207982677" w:history="1">
            <w:r>
              <w:rPr>
                <w:rStyle w:val="1161"/>
              </w:rPr>
              <w:t xml:space="preserve">Статья 11.2.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PAGEREF _Toc207982677 \h </w:instrText>
            </w:r>
            <w:r/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8" w:anchor="_Toc207982678" w:history="1">
            <w:r>
              <w:rPr>
                <w:rStyle w:val="1161"/>
              </w:rPr>
              <w:t xml:space="preserve">Статья 11.3. Производственная зона (3.1)</w:t>
            </w:r>
            <w:r>
              <w:tab/>
            </w:r>
            <w:r>
              <w:fldChar w:fldCharType="begin"/>
            </w:r>
            <w:r>
              <w:instrText xml:space="preserve"> PAGEREF _Toc207982678 \h </w:instrText>
            </w:r>
            <w:r/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79" w:anchor="_Toc207982679" w:history="1">
            <w:r>
              <w:rPr>
                <w:rStyle w:val="1161"/>
              </w:rPr>
              <w:t xml:space="preserve">Статья 11.4. Зона транспортной инфраструктуры (3.4)</w:t>
            </w:r>
            <w:r>
              <w:tab/>
            </w:r>
            <w:r>
              <w:fldChar w:fldCharType="begin"/>
            </w:r>
            <w:r>
              <w:instrText xml:space="preserve"> PAGEREF _Toc207982679 \h </w:instrText>
            </w:r>
            <w:r/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0" w:anchor="_Toc207982680" w:history="1">
            <w:r>
              <w:rPr>
                <w:rStyle w:val="1161"/>
              </w:rPr>
              <w:t xml:space="preserve">Статья 11.5. Зона садоводства, огородничества (4.1)</w:t>
            </w:r>
            <w:r>
              <w:tab/>
            </w:r>
            <w:r>
              <w:fldChar w:fldCharType="begin"/>
            </w:r>
            <w:r>
              <w:instrText xml:space="preserve"> PAGEREF _Toc207982680 \h </w:instrText>
            </w:r>
            <w:r/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1" w:anchor="_Toc207982681" w:history="1">
            <w:r>
              <w:rPr>
                <w:rStyle w:val="1161"/>
                <w:rFonts w:eastAsia="Times New Roman"/>
              </w:rPr>
              <w:t xml:space="preserve">Статья 11.6. </w:t>
            </w:r>
            <w:r>
              <w:rPr>
                <w:rStyle w:val="1161"/>
              </w:rPr>
              <w:t xml:space="preserve"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_Toc207982681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2" w:anchor="_Toc207982682" w:history="1">
            <w:r>
              <w:rPr>
                <w:rStyle w:val="1161"/>
              </w:rPr>
              <w:t xml:space="preserve">Статья 11.7. Зона озелененных территорий специального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_Toc207982682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3" w:anchor="_Toc207982683" w:history="1">
            <w:r>
              <w:rPr>
                <w:rStyle w:val="1161"/>
              </w:rPr>
              <w:t xml:space="preserve">Статья 11.8.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_Toc207982683 \h </w:instrText>
            </w:r>
            <w:r/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4" w:anchor="_Toc207982684" w:history="1">
            <w:r>
              <w:rPr>
                <w:rStyle w:val="1161"/>
              </w:rPr>
              <w:t xml:space="preserve"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 xml:space="preserve"> PAGEREF _Toc207982684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5" w:anchor="_Toc207982685" w:history="1">
            <w:r>
              <w:rPr>
                <w:rStyle w:val="1161"/>
              </w:rPr>
              <w:t xml:space="preserve">Статья 13.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_Toc207982685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6" w:anchor="_Toc207982686" w:history="1">
            <w:r>
              <w:rPr>
                <w:rStyle w:val="1161"/>
              </w:rPr>
              <w:t xml:space="preserve">Статья 14. Расчетные показатели минимально допустимого уровня обеспеченности территории объектами коммунальной, транспортной, социальной </w:t>
            </w:r>
            <w:r>
              <w:rPr>
                <w:rStyle w:val="1161"/>
              </w:rPr>
              <w:t xml:space="preserve">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>
              <w:tab/>
            </w:r>
            <w:r>
              <w:fldChar w:fldCharType="begin"/>
            </w:r>
            <w:r>
              <w:instrText xml:space="preserve"> PAGEREF _Toc207982686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7" w:anchor="_Toc207982687" w:history="1">
            <w:r>
              <w:rPr>
                <w:rStyle w:val="1161"/>
              </w:rPr>
              <w:t xml:space="preserve"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_Toc207982687 \h </w:instrText>
            </w:r>
            <w:r/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8" w:anchor="_Toc207982688" w:history="1">
            <w:r>
              <w:rPr>
                <w:rStyle w:val="1161"/>
              </w:rPr>
              <w:t xml:space="preserve"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_Toc207982688 \h </w:instrText>
            </w:r>
            <w:r/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89" w:anchor="_Toc207982689" w:history="1">
            <w:r>
              <w:rPr>
                <w:rStyle w:val="1161"/>
              </w:rPr>
              <w:t xml:space="preserve">Статья 15.2. Водоохранные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_Toc207982689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90" w:anchor="_Toc207982690" w:history="1">
            <w:r>
              <w:rPr>
                <w:rStyle w:val="1161"/>
              </w:rPr>
              <w:t xml:space="preserve"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_Toc207982690 \h </w:instrText>
            </w:r>
            <w:r/>
            <w:r>
              <w:fldChar w:fldCharType="separate"/>
            </w:r>
            <w:r>
              <w:t xml:space="preserve">26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91" w:anchor="_Toc207982691" w:history="1">
            <w:r>
              <w:rPr>
                <w:rStyle w:val="1161"/>
              </w:rPr>
              <w:t xml:space="preserve">Статья 15.4. Зона минимальных расстояний до магистральных или промышленных трубопроводов</w:t>
            </w:r>
            <w:r>
              <w:tab/>
            </w:r>
            <w:r>
              <w:fldChar w:fldCharType="begin"/>
            </w:r>
            <w:r>
              <w:instrText xml:space="preserve"> PAGEREF _Toc207982691 \h </w:instrText>
            </w:r>
            <w:r/>
            <w:r>
              <w:fldChar w:fldCharType="separate"/>
            </w:r>
            <w:r>
              <w:t xml:space="preserve">31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7982692" w:anchor="_Toc207982692" w:history="1">
            <w:r>
              <w:rPr>
                <w:rStyle w:val="1161"/>
              </w:rPr>
              <w:t xml:space="preserve">Статья 16.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_Toc207982692 \h </w:instrText>
            </w:r>
            <w:r/>
            <w:r>
              <w:fldChar w:fldCharType="separate"/>
            </w:r>
            <w:r>
              <w:t xml:space="preserve">32</w:t>
            </w:r>
            <w:r>
              <w:fldChar w:fldCharType="end"/>
            </w:r>
          </w:hyperlink>
          <w:r/>
          <w:r/>
        </w:p>
        <w:p>
          <w:pPr>
            <w:pStyle w:val="1124"/>
            <w:tabs>
              <w:tab w:val="right" w:pos="9921" w:leader="dot"/>
            </w:tabs>
          </w:pPr>
          <w:r>
            <w:fldChar w:fldCharType="end"/>
          </w:r>
          <w:r/>
        </w:p>
      </w:sdtContent>
    </w:sdt>
    <w:p>
      <w:pPr>
        <w:pStyle w:val="1116"/>
        <w:ind w:firstLine="0"/>
      </w:pPr>
      <w:r/>
      <w:r/>
    </w:p>
    <w:p>
      <w:pPr>
        <w:pStyle w:val="1116"/>
        <w:ind w:firstLine="0"/>
      </w:pPr>
      <w:r>
        <w:br w:type="page" w:clear="all"/>
      </w:r>
      <w:r/>
    </w:p>
    <w:p>
      <w:pPr>
        <w:pStyle w:val="709"/>
        <w:contextualSpacing/>
      </w:pPr>
      <w:r/>
      <w:bookmarkStart w:id="1" w:name="_Toc1"/>
      <w:r/>
      <w:bookmarkStart w:id="2" w:name="_Toc207982663"/>
      <w:r>
        <w:rPr>
          <w:rFonts w:eastAsia="Times New Roman" w:cs="Times New Roman"/>
          <w:spacing w:val="2"/>
          <w:lang w:eastAsia="ru-RU"/>
        </w:rPr>
        <w:t xml:space="preserve">Раздел 1. Порядок применения и внесения изменений в правила землепользования и застройки</w:t>
      </w:r>
      <w:bookmarkEnd w:id="1"/>
      <w:r/>
      <w:bookmarkEnd w:id="2"/>
      <w:r/>
      <w:r/>
    </w:p>
    <w:p>
      <w:pPr>
        <w:pStyle w:val="1116"/>
        <w:contextualSpacing/>
        <w:widowControl w:val="off"/>
      </w:pPr>
      <w:r/>
      <w:r/>
    </w:p>
    <w:p>
      <w:pPr>
        <w:pStyle w:val="709"/>
      </w:pPr>
      <w:r/>
      <w:bookmarkStart w:id="3" w:name="_Toc2"/>
      <w:r/>
      <w:bookmarkStart w:id="4" w:name="_Toc207982664"/>
      <w:r>
        <w:t xml:space="preserve">Статья 1. Основные понятия, используемые в правилах землепользования и застройки</w:t>
      </w:r>
      <w:bookmarkEnd w:id="3"/>
      <w:r/>
      <w:bookmarkEnd w:id="4"/>
      <w:r/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widowControl w:val="off"/>
      </w:pPr>
      <w:r>
        <w:rPr>
          <w:rFonts w:cs="Times New Roman"/>
        </w:rPr>
        <w:t xml:space="preserve">В настоящих правилах землепользования и застройки муниципального образования – </w:t>
      </w:r>
      <w:r>
        <w:rPr>
          <w:rFonts w:cs="Times New Roman"/>
          <w:szCs w:val="28"/>
        </w:rPr>
        <w:t xml:space="preserve">Касимовский</w:t>
      </w:r>
      <w:r>
        <w:rPr>
          <w:rFonts w:cs="Times New Roman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szCs w:val="28"/>
        </w:rPr>
        <w:t xml:space="preserve">Торбаевского</w:t>
      </w:r>
      <w:r>
        <w:rPr>
          <w:rFonts w:cs="Times New Roman"/>
          <w:szCs w:val="28"/>
        </w:rPr>
        <w:t xml:space="preserve"> сельского округа </w:t>
      </w:r>
      <w:r>
        <w:rPr>
          <w:rFonts w:cs="Times New Roman"/>
          <w:szCs w:val="28"/>
        </w:rPr>
        <w:t xml:space="preserve">Касимовского</w:t>
      </w:r>
      <w:r>
        <w:rPr>
          <w:rFonts w:cs="Times New Roman"/>
          <w:szCs w:val="28"/>
        </w:rPr>
        <w:t xml:space="preserve"> района Рязанской области</w:t>
      </w:r>
      <w:r>
        <w:rPr>
          <w:rFonts w:cs="Times New Roman"/>
          <w:szCs w:val="32"/>
        </w:rPr>
        <w:t xml:space="preserve">   </w:t>
      </w:r>
      <w:r>
        <w:rPr>
          <w:rFonts w:cs="Times New Roman"/>
        </w:rPr>
        <w:t xml:space="preserve">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  <w:r/>
    </w:p>
    <w:p>
      <w:pPr>
        <w:pStyle w:val="1116"/>
        <w:ind w:firstLine="567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709"/>
      </w:pPr>
      <w:r/>
      <w:bookmarkStart w:id="5" w:name="_Toc3"/>
      <w:r/>
      <w:bookmarkStart w:id="6" w:name="_Toc207982665"/>
      <w:r>
        <w:t xml:space="preserve">Статья 2. Положение о регулировании землепользования и застройки</w:t>
      </w:r>
      <w:bookmarkEnd w:id="5"/>
      <w:r/>
      <w:bookmarkEnd w:id="6"/>
      <w:r/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widowControl w:val="off"/>
      </w:pPr>
      <w:r>
        <w:t xml:space="preserve"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  <w:r/>
    </w:p>
    <w:p>
      <w:pPr>
        <w:pStyle w:val="1116"/>
        <w:widowControl w:val="off"/>
      </w:pPr>
      <w:r>
        <w:rPr>
          <w:rFonts w:eastAsia="Times New Roman" w:cs="Times New Roman"/>
          <w:color w:val="000000"/>
          <w:szCs w:val="28"/>
        </w:rPr>
        <w:t xml:space="preserve">2. </w:t>
      </w:r>
      <w:r>
        <w:rPr>
          <w:rFonts w:eastAsia="Times New Roman" w:cs="Times New Roman"/>
          <w:color w:val="000000"/>
          <w:szCs w:val="28"/>
        </w:rPr>
        <w:t xml:space="preserve">В соответствии с Законом Рязанской области от 28.12.2018 № 106-ОЗ «О перераспределении отде</w:t>
      </w:r>
      <w:r>
        <w:rPr>
          <w:rFonts w:eastAsia="Times New Roman" w:cs="Times New Roman"/>
          <w:color w:val="000000"/>
          <w:szCs w:val="28"/>
        </w:rPr>
        <w:t xml:space="preserve"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 xml:space="preserve"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 Рязанской области, уполномоченный в сфере градостроительной деятельности.</w:t>
      </w:r>
      <w:r/>
    </w:p>
    <w:p>
      <w:pPr>
        <w:pStyle w:val="1116"/>
        <w:widowControl w:val="off"/>
      </w:pPr>
      <w:r>
        <w:rPr>
          <w:rFonts w:eastAsia="Times New Roman" w:cs="Times New Roman"/>
          <w:color w:val="000000"/>
          <w:szCs w:val="28"/>
          <w:lang w:eastAsia="ar-SA"/>
        </w:rPr>
        <w:t xml:space="preserve"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  <w:r/>
    </w:p>
    <w:p>
      <w:pPr>
        <w:pStyle w:val="1116"/>
        <w:widowControl w:val="off"/>
      </w:pPr>
      <w:r/>
      <w:r/>
    </w:p>
    <w:p>
      <w:pPr>
        <w:pStyle w:val="709"/>
      </w:pPr>
      <w:r/>
      <w:bookmarkStart w:id="7" w:name="_Toc4"/>
      <w:r/>
      <w:bookmarkStart w:id="8" w:name="_Toc207982666"/>
      <w:r>
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7"/>
      <w:r/>
      <w:bookmarkEnd w:id="8"/>
      <w:r/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widowControl w:val="off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t xml:space="preserve"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  <w:r/>
    </w:p>
    <w:p>
      <w:pPr>
        <w:pStyle w:val="1116"/>
        <w:widowControl w:val="off"/>
      </w:pPr>
      <w:r>
        <w:t xml:space="preserve"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</w:t>
      </w:r>
      <w:r>
        <w:t xml:space="preserve">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/>
    </w:p>
    <w:p>
      <w:pPr>
        <w:pStyle w:val="1116"/>
        <w:widowControl w:val="off"/>
      </w:pPr>
      <w:r>
        <w:t xml:space="preserve">3. Решения об изменении одного вида разрешенного использования земельных участков и объектов капитального строи</w:t>
      </w:r>
      <w:r>
        <w:t xml:space="preserve">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  <w:r/>
    </w:p>
    <w:p>
      <w:pPr>
        <w:pStyle w:val="1116"/>
        <w:widowControl w:val="off"/>
      </w:pPr>
      <w:r>
        <w:t xml:space="preserve"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  <w:r/>
    </w:p>
    <w:p>
      <w:pPr>
        <w:pStyle w:val="1116"/>
        <w:widowControl w:val="off"/>
      </w:pPr>
      <w:r>
        <w:rPr>
          <w:rFonts w:cs="Times New Roman"/>
          <w:color w:val="000000"/>
        </w:rPr>
        <w:t xml:space="preserve">5. Физическое или юридическое лицо вправе оспорить в суде решение</w:t>
      </w:r>
      <w:r>
        <w:rPr>
          <w:rFonts w:cs="Times New Roman"/>
          <w:color w:val="000000"/>
        </w:rPr>
        <w:br/>
        <w:t xml:space="preserve"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  <w:color w:val="000000"/>
        </w:rPr>
        <w:br/>
        <w:t xml:space="preserve">в предоставлении такого разрешения.</w:t>
      </w:r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709"/>
      </w:pPr>
      <w:r/>
      <w:bookmarkStart w:id="9" w:name="_Toc5"/>
      <w:r/>
      <w:bookmarkStart w:id="10" w:name="_Toc207982667"/>
      <w:r>
        <w:t xml:space="preserve">Статья 4. Положение о подготовке документации по планировке  территории</w:t>
      </w:r>
      <w:bookmarkEnd w:id="9"/>
      <w:r/>
      <w:bookmarkEnd w:id="10"/>
      <w:r/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widowControl w:val="off"/>
      </w:pPr>
      <w:r>
        <w:t xml:space="preserve">1. В соответствии со статьей 41 Градостроительного </w:t>
      </w:r>
      <w:r>
        <w:t xml:space="preserve">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r>
        <w:t xml:space="preserve">границ зон планируемого размещения объектов капитального строительства</w:t>
      </w:r>
      <w:r>
        <w:t xml:space="preserve">.</w:t>
      </w:r>
      <w:r/>
    </w:p>
    <w:p>
      <w:pPr>
        <w:pStyle w:val="1116"/>
        <w:widowControl w:val="off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 xml:space="preserve"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116"/>
        <w:widowControl w:val="off"/>
      </w:pPr>
      <w:r>
        <w:rPr>
          <w:rFonts w:cs="Times New Roman"/>
          <w:color w:val="000000"/>
        </w:rPr>
        <w:t xml:space="preserve">3. В соответствии с постановлением Правительства Рязанской области</w:t>
      </w:r>
      <w:r>
        <w:rPr>
          <w:rFonts w:cs="Times New Roman"/>
          <w:color w:val="000000"/>
        </w:rPr>
        <w:br/>
        <w:t xml:space="preserve">от 06.</w:t>
      </w:r>
      <w:r>
        <w:rPr>
          <w:color w:val="000000"/>
        </w:rPr>
        <w:t xml:space="preserve">08.</w:t>
      </w:r>
      <w:r>
        <w:rPr>
          <w:rFonts w:cs="Times New Roman"/>
          <w:color w:val="000000"/>
        </w:rPr>
        <w:t xml:space="preserve">2008 № 153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</w:t>
      </w:r>
      <w:r>
        <w:rPr>
          <w:rFonts w:cs="Times New Roman"/>
          <w:color w:val="000000"/>
        </w:rPr>
        <w:t xml:space="preserve"> власти Рязанской области, </w:t>
      </w:r>
      <w:r>
        <w:rPr>
          <w:rFonts w:cs="Times New Roman"/>
          <w:color w:val="000000"/>
        </w:rPr>
        <w:t xml:space="preserve">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6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</w:pPr>
      <w:r/>
      <w:bookmarkStart w:id="11" w:name="_Toc6"/>
      <w:r/>
      <w:bookmarkStart w:id="12" w:name="_Toc207982668"/>
      <w:r>
        <w:t xml:space="preserve">Статья 5. Положение о проведении общественных обсуждений или публичных слушаний по вопросам землепользования и застройки</w:t>
      </w:r>
      <w:bookmarkEnd w:id="11"/>
      <w:r/>
      <w:bookmarkEnd w:id="12"/>
      <w:r/>
      <w:r/>
    </w:p>
    <w:p>
      <w:pPr>
        <w:pStyle w:val="1116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widowControl w:val="off"/>
      </w:pPr>
      <w:r>
        <w:rPr>
          <w:rFonts w:eastAsia="Times New Roman" w:cs="Times New Roman"/>
          <w:color w:val="000000"/>
          <w:szCs w:val="28"/>
          <w:highlight w:val="white"/>
        </w:rPr>
        <w:t xml:space="preserve"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 xml:space="preserve">Градостроительным кодексом Российской Федерации.</w:t>
      </w:r>
      <w:r/>
    </w:p>
    <w:p>
      <w:pPr>
        <w:pStyle w:val="1116"/>
        <w:widowControl w:val="off"/>
      </w:pPr>
      <w:r>
        <w:t xml:space="preserve">2. </w:t>
      </w:r>
      <w:r>
        <w:t xml:space="preserve">Общественные обсуждения и публичн</w:t>
      </w:r>
      <w:r>
        <w:t xml:space="preserve">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</w:t>
      </w:r>
      <w:r>
        <w:t xml:space="preserve">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r>
        <w:t xml:space="preserve"> </w:t>
      </w:r>
      <w: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</w:t>
      </w:r>
      <w:r>
        <w:t xml:space="preserve">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r/>
    </w:p>
    <w:p>
      <w:pPr>
        <w:pStyle w:val="1116"/>
        <w:widowControl w:val="off"/>
      </w:pPr>
      <w:r>
        <w:t xml:space="preserve">3. Результаты общественных обсуждений и публичных слушаний носят рекомендательный характер.</w:t>
      </w:r>
      <w:r/>
    </w:p>
    <w:p>
      <w:pPr>
        <w:pStyle w:val="1116"/>
        <w:widowControl w:val="off"/>
      </w:pPr>
      <w:r>
        <w:t xml:space="preserve"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  <w:r/>
    </w:p>
    <w:p>
      <w:pPr>
        <w:pStyle w:val="1116"/>
        <w:widowControl w:val="off"/>
      </w:pPr>
      <w:r>
        <w:rPr>
          <w:rFonts w:eastAsia="Times New Roman" w:cs="Times New Roman"/>
          <w:szCs w:val="28"/>
          <w:lang w:eastAsia="hi-IN"/>
        </w:rPr>
        <w:t xml:space="preserve"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  <w:r/>
    </w:p>
    <w:p>
      <w:pPr>
        <w:pStyle w:val="1116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</w:pPr>
      <w:r/>
      <w:bookmarkStart w:id="13" w:name="_Toc207982669"/>
      <w:r>
        <w:rPr>
          <w:rFonts w:cs="Times New Roman"/>
        </w:rPr>
        <w:t xml:space="preserve">Статья 6. Положение о внесении изменений в правила землепользования и застройки</w:t>
      </w:r>
      <w:bookmarkEnd w:id="13"/>
      <w:r/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  <w:r/>
    </w:p>
    <w:p>
      <w:pPr>
        <w:pStyle w:val="1116"/>
      </w:pPr>
      <w:r>
        <w:rPr>
          <w:color w:val="000000"/>
        </w:rPr>
        <w:t xml:space="preserve">2. Основаниями для рассмотрения вопроса о внесении изменений в правила землепользования и застройки являются:</w:t>
      </w:r>
      <w:r/>
    </w:p>
    <w:p>
      <w:pPr>
        <w:pStyle w:val="1116"/>
      </w:pPr>
      <w:r>
        <w:rPr>
          <w:color w:val="000000"/>
        </w:rPr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color w:val="000000"/>
        </w:rPr>
        <w:t xml:space="preserve">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r/>
    </w:p>
    <w:p>
      <w:pPr>
        <w:pStyle w:val="1116"/>
      </w:pPr>
      <w:r>
        <w:rPr>
          <w:color w:val="000000"/>
        </w:rPr>
        <w:t xml:space="preserve">2) поступление предложений об изменении границ территориальных зон, изменении градостроительных регламентов;</w:t>
      </w:r>
      <w:r/>
    </w:p>
    <w:p>
      <w:pPr>
        <w:pStyle w:val="1116"/>
      </w:pPr>
      <w:r>
        <w:rPr>
          <w:color w:val="000000"/>
        </w:rPr>
        <w:t xml:space="preserve">3) несоответствие сведений о местоположении границ зон с особыми условиями использования территорий, территорий объектов</w:t>
      </w:r>
      <w:r>
        <w:rPr>
          <w:color w:val="000000"/>
        </w:rPr>
        <w:t xml:space="preserve">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  <w:r/>
    </w:p>
    <w:p>
      <w:pPr>
        <w:pStyle w:val="1116"/>
      </w:pPr>
      <w:r>
        <w:rPr>
          <w:color w:val="000000"/>
        </w:rPr>
        <w:t xml:space="preserve">3.1) несо</w:t>
      </w:r>
      <w:r>
        <w:rPr>
          <w:color w:val="000000"/>
        </w:rPr>
        <w:t xml:space="preserve">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</w:t>
      </w:r>
      <w:r>
        <w:rPr>
          <w:color w:val="000000"/>
        </w:rPr>
        <w:t xml:space="preserve">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r>
        <w:rPr>
          <w:color w:val="000000"/>
        </w:rPr>
        <w:t xml:space="preserve"> пунктов;</w:t>
      </w:r>
      <w:r/>
    </w:p>
    <w:p>
      <w:pPr>
        <w:pStyle w:val="1116"/>
      </w:pPr>
      <w:r>
        <w:rPr>
          <w:color w:val="000000"/>
        </w:rPr>
        <w:t xml:space="preserve"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 xml:space="preserve">с особыми услови</w:t>
      </w:r>
      <w:r>
        <w:t xml:space="preserve">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r/>
    </w:p>
    <w:p>
      <w:pPr>
        <w:pStyle w:val="1116"/>
      </w:pPr>
      <w:r>
        <w:t xml:space="preserve"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 xml:space="preserve"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  <w:r/>
    </w:p>
    <w:p>
      <w:pPr>
        <w:pStyle w:val="1116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6) принятие решения о комплексном развитии территории или заключение</w:t>
      </w:r>
      <w:r>
        <w:rPr>
          <w:color w:val="000000"/>
        </w:rPr>
        <w:br/>
        <w:t xml:space="preserve">в соответствии со статьей 70 Градостроительного кодекса Российской Федерации договора о комплексном развитии территории;</w:t>
      </w:r>
      <w:r/>
    </w:p>
    <w:p>
      <w:pPr>
        <w:pStyle w:val="1116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7) обнаружение мест захоронений погибших при защите Отечества, расположенных в границах муниципальных образований;</w:t>
      </w:r>
      <w:r/>
    </w:p>
    <w:p>
      <w:pPr>
        <w:pStyle w:val="1116"/>
        <w:ind w:firstLine="794"/>
      </w:pPr>
      <w:r>
        <w:rPr>
          <w:color w:val="000000"/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rPr>
          <w:color w:val="000000"/>
          <w:szCs w:val="28"/>
        </w:rPr>
        <w:t xml:space="preserve"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pStyle w:val="709"/>
        <w:contextualSpacing/>
      </w:pPr>
      <w:r/>
      <w:bookmarkStart w:id="14" w:name="_Toc207982670"/>
      <w:r>
        <w:rPr>
          <w:rFonts w:cs="Times New Roman"/>
          <w:color w:val="000000"/>
          <w:shd w:val="clear" w:color="auto" w:fill="auto"/>
        </w:rPr>
        <w:t xml:space="preserve">Статья 7. Градостроительные планы земельных участков</w:t>
      </w:r>
      <w:bookmarkEnd w:id="14"/>
      <w:r/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rPr>
          <w:color w:val="000000"/>
        </w:rPr>
        <w:t xml:space="preserve">1. В соответствии со статьей 57.3 Градостроительного кодекса Российской Федерации градостроительный план </w:t>
      </w:r>
      <w:r>
        <w:rPr>
          <w:color w:val="000000"/>
        </w:rPr>
        <w:t xml:space="preserve">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  <w:r/>
    </w:p>
    <w:p>
      <w:pPr>
        <w:pStyle w:val="1116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Законом Рязанской области от 28.12.2018 № 106-ОЗ «О перера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116"/>
      </w:pPr>
      <w:r>
        <w:rPr>
          <w:color w:val="000000"/>
        </w:rPr>
        <w:t xml:space="preserve"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развития Рязанской области».</w:t>
      </w:r>
      <w:r/>
    </w:p>
    <w:p>
      <w:pPr>
        <w:pStyle w:val="1116"/>
        <w:rPr>
          <w:rFonts w:eastAsia="Times New Roman" w:cs="Times New Roman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</w:r>
      <w:r/>
    </w:p>
    <w:p>
      <w:pPr>
        <w:pStyle w:val="709"/>
        <w:contextualSpacing/>
      </w:pPr>
      <w:r/>
      <w:bookmarkStart w:id="15" w:name="_Toc207982671"/>
      <w:r>
        <w:rPr>
          <w:rFonts w:cs="Times New Roman"/>
        </w:rPr>
        <w:t xml:space="preserve">Статья 8. Разрешение на строительство, реконструкцию и ввод объектов капитального строительства в эксплуатацию</w:t>
      </w:r>
      <w:bookmarkEnd w:id="15"/>
      <w:r/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rPr>
          <w:rFonts w:eastAsia="Times New Roman" w:cs="Times New Roman"/>
          <w:color w:val="000000"/>
          <w:spacing w:val="2"/>
          <w:szCs w:val="28"/>
        </w:rPr>
        <w:t xml:space="preserve"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  <w:r/>
    </w:p>
    <w:p>
      <w:pPr>
        <w:pStyle w:val="1116"/>
        <w:ind w:firstLine="737"/>
        <w:widowControl w:val="off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</w:t>
      </w:r>
      <w:r>
        <w:rPr>
          <w:rFonts w:eastAsia="Times New Roman" w:cs="Times New Roman"/>
          <w:color w:val="000000"/>
          <w:szCs w:val="28"/>
        </w:rPr>
        <w:t xml:space="preserve">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r>
        <w:rPr>
          <w:rFonts w:eastAsia="Times New Roman" w:cs="Times New Roman"/>
          <w:color w:val="000000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 xml:space="preserve">.</w:t>
      </w:r>
      <w:r/>
    </w:p>
    <w:p>
      <w:pPr>
        <w:pStyle w:val="1116"/>
      </w:pPr>
      <w:r>
        <w:rPr>
          <w:color w:val="000000"/>
        </w:rPr>
        <w:t xml:space="preserve">3. Согласно постановлению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6"/>
        <w:ind w:firstLine="737"/>
        <w:keepLines/>
        <w:keepNext/>
        <w:widowControl w:val="off"/>
      </w:pPr>
      <w:r>
        <w:rPr>
          <w:rFonts w:eastAsia="Times New Roman" w:cs="Times New Roman"/>
          <w:color w:val="000000"/>
          <w:szCs w:val="28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  <w:r/>
    </w:p>
    <w:p>
      <w:pPr>
        <w:pStyle w:val="1116"/>
        <w:widowControl w:val="off"/>
      </w:pPr>
      <w:r/>
      <w:r/>
    </w:p>
    <w:p>
      <w:pPr>
        <w:pStyle w:val="709"/>
        <w:contextualSpacing/>
        <w:rPr>
          <w:rFonts w:cs="Times New Roman"/>
        </w:rPr>
      </w:pPr>
      <w:r/>
      <w:bookmarkStart w:id="16" w:name="_Toc10"/>
      <w:r/>
      <w:bookmarkStart w:id="17" w:name="_Toc207982672"/>
      <w:r>
        <w:rPr>
          <w:rFonts w:cs="Times New Roman"/>
        </w:rPr>
        <w:t xml:space="preserve">Раздел 2. Градостроительные регламенты</w:t>
      </w:r>
      <w:bookmarkEnd w:id="16"/>
      <w:r/>
      <w:bookmarkEnd w:id="17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709"/>
        <w:contextualSpacing/>
        <w:rPr>
          <w:rFonts w:cs="Times New Roman"/>
        </w:rPr>
      </w:pPr>
      <w:r/>
      <w:bookmarkStart w:id="18" w:name="_Toc11"/>
      <w:r/>
      <w:bookmarkStart w:id="19" w:name="_Toc207982673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18"/>
      <w:r/>
      <w:bookmarkEnd w:id="19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rPr>
          <w:color w:val="000000"/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  <w:r/>
    </w:p>
    <w:p>
      <w:pPr>
        <w:pStyle w:val="1116"/>
      </w:pPr>
      <w:r>
        <w:t xml:space="preserve">2. Градостроительные регламенты установлены с учетом:</w:t>
      </w:r>
      <w:r/>
    </w:p>
    <w:p>
      <w:pPr>
        <w:pStyle w:val="1116"/>
      </w:pPr>
      <w:r>
        <w:t xml:space="preserve">1) фактического использования земельных участков и объектов капитального строительства в границах территориальной зоны;</w:t>
      </w:r>
      <w:r/>
    </w:p>
    <w:p>
      <w:pPr>
        <w:pStyle w:val="1116"/>
      </w:pPr>
      <w:r>
        <w:t xml:space="preserve"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  <w:r/>
    </w:p>
    <w:p>
      <w:pPr>
        <w:pStyle w:val="1116"/>
      </w:pPr>
      <w:r>
        <w:t xml:space="preserve">3) </w:t>
      </w:r>
      <w:r>
        <w:rPr>
          <w:szCs w:val="28"/>
        </w:rPr>
        <w:t xml:space="preserve"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  <w:r/>
    </w:p>
    <w:p>
      <w:pPr>
        <w:pStyle w:val="1116"/>
      </w:pPr>
      <w:r>
        <w:rPr>
          <w:szCs w:val="28"/>
        </w:rPr>
        <w:t xml:space="preserve">4) видов территориальных зон;</w:t>
      </w:r>
      <w:r/>
    </w:p>
    <w:p>
      <w:pPr>
        <w:pStyle w:val="1116"/>
      </w:pPr>
      <w:r>
        <w:rPr>
          <w:color w:val="000000"/>
          <w:szCs w:val="28"/>
        </w:rPr>
        <w:t xml:space="preserve">5) требований охраны объектов культурного наследия, а также особо охраняемых природных территорий, и иных природных объектов.</w:t>
      </w:r>
      <w:r/>
    </w:p>
    <w:p>
      <w:pPr>
        <w:pStyle w:val="1116"/>
      </w:pPr>
      <w:r>
        <w:rPr>
          <w:color w:val="000000"/>
          <w:szCs w:val="28"/>
        </w:rPr>
        <w:t xml:space="preserve">3. Действие градостроительных регламентов распростра</w:t>
      </w:r>
      <w:r>
        <w:rPr>
          <w:color w:val="000000"/>
          <w:szCs w:val="28"/>
        </w:rPr>
        <w:t xml:space="preserve">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  <w:r/>
    </w:p>
    <w:p>
      <w:pPr>
        <w:pStyle w:val="1116"/>
      </w:pPr>
      <w:r>
        <w:rPr>
          <w:szCs w:val="28"/>
        </w:rPr>
        <w:t xml:space="preserve">4. Действие градостроительного регламента не распространяется на земельные участки:</w:t>
      </w:r>
      <w:r/>
    </w:p>
    <w:p>
      <w:pPr>
        <w:pStyle w:val="1116"/>
      </w:pPr>
      <w:r>
        <w:t xml:space="preserve">1) в границах территорий памятников и ансамблей, в</w:t>
      </w:r>
      <w:r>
        <w:t xml:space="preserve">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  <w:r/>
    </w:p>
    <w:p>
      <w:pPr>
        <w:pStyle w:val="1116"/>
      </w:pPr>
      <w:r>
        <w:t xml:space="preserve">2) в границах территорий общего пользования;</w:t>
      </w:r>
      <w:r/>
    </w:p>
    <w:p>
      <w:pPr>
        <w:pStyle w:val="1116"/>
      </w:pPr>
      <w:r>
        <w:t xml:space="preserve">3) предназначенные для размещения линейных объектов и (или) занятые линейными объектами;</w:t>
      </w:r>
      <w:r/>
    </w:p>
    <w:p>
      <w:pPr>
        <w:pStyle w:val="1116"/>
      </w:pPr>
      <w:r>
        <w:rPr>
          <w:szCs w:val="28"/>
        </w:rPr>
        <w:t xml:space="preserve">4) предоставленные для добычи полезных ископаемых.</w:t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  <w:rPr>
          <w:rFonts w:cs="Times New Roman"/>
        </w:rPr>
      </w:pPr>
      <w:r/>
      <w:bookmarkStart w:id="20" w:name="_Toc12"/>
      <w:r/>
      <w:bookmarkStart w:id="21" w:name="_Toc207982674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 xml:space="preserve">П</w:t>
      </w:r>
      <w:r>
        <w:rPr>
          <w:rFonts w:cs="Times New Roman"/>
        </w:rPr>
        <w:t xml:space="preserve">еречень территориальных зон, </w:t>
      </w:r>
      <w:r>
        <w:rPr>
          <w:rFonts w:cs="Times New Roman"/>
          <w:color w:val="000000"/>
          <w:shd w:val="clear" w:color="auto" w:fill="auto"/>
        </w:rPr>
        <w:t xml:space="preserve">установленных</w:t>
      </w:r>
      <w:r>
        <w:rPr>
          <w:rFonts w:cs="Times New Roman"/>
        </w:rPr>
        <w:t xml:space="preserve"> на карте градостроительного зонирования</w:t>
      </w:r>
      <w:bookmarkEnd w:id="20"/>
      <w:r/>
      <w:bookmarkEnd w:id="21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eastAsia="Times New Roman"/>
          <w:spacing w:val="5"/>
          <w:szCs w:val="28"/>
        </w:rPr>
        <w:t xml:space="preserve">Касимовский</w:t>
      </w:r>
      <w:r>
        <w:rPr>
          <w:rFonts w:eastAsia="Times New Roman"/>
          <w:spacing w:val="5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spacing w:val="5"/>
          <w:szCs w:val="28"/>
        </w:rPr>
        <w:t xml:space="preserve">Торбаевск</w:t>
      </w:r>
      <w:r>
        <w:rPr>
          <w:rFonts w:eastAsia="Times New Roman"/>
          <w:spacing w:val="5"/>
          <w:szCs w:val="28"/>
        </w:rPr>
        <w:t xml:space="preserve">ого</w:t>
      </w:r>
      <w:r>
        <w:rPr>
          <w:rFonts w:eastAsia="Times New Roman"/>
          <w:spacing w:val="5"/>
          <w:szCs w:val="28"/>
        </w:rPr>
        <w:t xml:space="preserve"> сельского округа </w:t>
      </w:r>
      <w:r>
        <w:rPr>
          <w:rFonts w:eastAsia="Times New Roman"/>
          <w:spacing w:val="5"/>
          <w:szCs w:val="28"/>
        </w:rPr>
        <w:t xml:space="preserve">Касимовского</w:t>
      </w:r>
      <w:r>
        <w:rPr>
          <w:rFonts w:eastAsia="Times New Roman"/>
          <w:spacing w:val="5"/>
          <w:szCs w:val="28"/>
        </w:rPr>
        <w:t xml:space="preserve">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территориальные зоны, представленные </w:t>
      </w:r>
      <w:r>
        <w:rPr>
          <w:rFonts w:eastAsia="Times New Roman"/>
          <w:spacing w:val="5"/>
          <w:szCs w:val="28"/>
        </w:rPr>
        <w:t xml:space="preserve">в таблице </w:t>
      </w:r>
      <w:r>
        <w:rPr>
          <w:rFonts w:eastAsia="Times New Roman"/>
          <w:spacing w:val="5"/>
          <w:szCs w:val="28"/>
        </w:rPr>
        <w:t xml:space="preserve">10.</w:t>
      </w:r>
      <w:r>
        <w:rPr>
          <w:rFonts w:eastAsia="Times New Roman"/>
          <w:spacing w:val="5"/>
          <w:szCs w:val="28"/>
        </w:rPr>
        <w:t xml:space="preserve">1.</w:t>
      </w:r>
      <w:r/>
    </w:p>
    <w:p>
      <w:pPr>
        <w:pStyle w:val="1116"/>
        <w:jc w:val="right"/>
      </w:pPr>
      <w:r>
        <w:t xml:space="preserve">Таблица 10.1</w:t>
      </w:r>
      <w:r/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371"/>
      </w:tblGrid>
      <w:tr>
        <w:trPr>
          <w:trHeight w:val="497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t xml:space="preserve">территориальной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Наименование (код)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t xml:space="preserve">территориальной зоны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text;margin-left:35.4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9;o:allowoverlap:true;o:allowincell:true;mso-position-horizontal-relative:text;margin-left:35.4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13;o:allowoverlap:true;o:allowincell:true;mso-position-horizontal-relative:text;margin-left:35.4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  <w:rPr>
                <w:szCs w:val="24"/>
              </w:rPr>
            </w:pPr>
            <w:r>
              <w:t xml:space="preserve">Жилая зона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840" cy="356235"/>
                      <wp:effectExtent l="5715" t="5715" r="4445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5;o:allowoverlap:true;o:allowincell:true;mso-position-horizontal-relative:text;margin-left:36.5pt;mso-position-horizontal:absolute;mso-position-vertical-relative:text;margin-top:4.5pt;mso-position-vertical:absolute;width:59.2pt;height:28.0pt;mso-wrap-distance-left:0.0pt;mso-wrap-distance-top:0.0pt;mso-wrap-distance-right:0.0pt;mso-wrap-distance-bottom:0.0pt;visibility:visible;" fillcolor="#CA7AF5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840" cy="356235"/>
                      <wp:effectExtent l="0" t="0" r="0" b="0"/>
                      <wp:wrapNone/>
                      <wp:docPr id="5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8;o:allowoverlap:true;o:allowincell:true;mso-position-horizontal-relative:text;margin-left:36.5pt;mso-position-horizontal:absolute;mso-position-vertical-relative:text;margin-top:4.5pt;mso-position-vertical:absolute;width:59.2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840" cy="356235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2.2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14;o:allowoverlap:true;o:allowincell:true;mso-position-horizontal-relative:text;margin-left:36.5pt;mso-position-horizontal:absolute;mso-position-vertical-relative:text;margin-top:4.5pt;mso-position-vertical:absolute;width:59.2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5080" t="5715" r="5080" b="4445"/>
                      <wp:wrapNone/>
                      <wp:docPr id="7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2;o:allowoverlap:true;o:allowincell:true;mso-position-horizontal-relative:text;margin-left:35.1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color="#895A44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8" name="Врезка5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3;o:allowoverlap:true;o:allowincell:true;mso-position-horizontal-relative:text;margin-left:35.1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9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4;o:allowoverlap:true;o:allowincell:tru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10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5;o:allowoverlap:true;o:allowincell:tru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11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6;o:allowoverlap:true;o:allowincell:fals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12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7;o:allowoverlap:true;o:allowincell:fals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rPr>
                <w:color w:val="000000"/>
              </w:rPr>
              <w:t xml:space="preserve">Производственная зона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34695" cy="339090"/>
                      <wp:effectExtent l="5080" t="5715" r="5080" b="4445"/>
                      <wp:wrapNone/>
                      <wp:docPr id="13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4040" cy="3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8;o:allowoverlap:true;o:allowincell:true;mso-position-horizontal-relative:text;margin-left:35.1pt;mso-position-horizontal:absolute;mso-position-vertical-relative:text;margin-top:4.5pt;mso-position-vertical:absolute;width:57.8pt;height:26.7pt;mso-wrap-distance-left:0.0pt;mso-wrap-distance-top:0.0pt;mso-wrap-distance-right:0.0pt;mso-wrap-distance-bottom:0.0pt;visibility:visible;" fillcolor="#006A91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9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34695" cy="339090"/>
                      <wp:effectExtent l="0" t="0" r="0" b="0"/>
                      <wp:wrapNone/>
                      <wp:docPr id="14" name="Врезка5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4040" cy="338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9;o:allowoverlap:true;o:allowincell:true;mso-position-horizontal-relative:text;margin-left:35.1pt;mso-position-horizontal:absolute;mso-position-vertical-relative:text;margin-top:4.5pt;mso-position-vertical:absolute;width:57.8pt;height:26.7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0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52070</wp:posOffset>
                      </wp:positionV>
                      <wp:extent cx="734695" cy="339090"/>
                      <wp:effectExtent l="0" t="0" r="0" b="0"/>
                      <wp:wrapNone/>
                      <wp:docPr id="15" name="Врезка2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4040" cy="338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30;o:allowoverlap:true;o:allowincell:true;mso-position-horizontal-relative:text;margin-left:34.9pt;mso-position-horizontal:absolute;mso-position-vertical-relative:text;margin-top:4.1pt;mso-position-vertical:absolute;width:57.8pt;height:26.7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52070</wp:posOffset>
                      </wp:positionV>
                      <wp:extent cx="734695" cy="339090"/>
                      <wp:effectExtent l="0" t="0" r="0" b="0"/>
                      <wp:wrapNone/>
                      <wp:docPr id="16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4040" cy="338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o:spt="1" type="#_x0000_t1" style="position:absolute;z-index:31;o:allowoverlap:true;o:allowincell:false;mso-position-horizontal-relative:text;margin-left:34.9pt;mso-position-horizontal:absolute;mso-position-vertical-relative:text;margin-top:4.1pt;mso-position-vertical:absolute;width:57.8pt;height:26.7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52070</wp:posOffset>
                      </wp:positionV>
                      <wp:extent cx="734695" cy="339090"/>
                      <wp:effectExtent l="0" t="0" r="0" b="0"/>
                      <wp:wrapNone/>
                      <wp:docPr id="17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4040" cy="338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52"/>
                                    <w:ind w:firstLine="0"/>
                                    <w:jc w:val="center"/>
                                    <w:widowControl w:val="off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3.4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6" o:spid="_x0000_s16" o:spt="1" type="#_x0000_t1" style="position:absolute;z-index:32;o:allowoverlap:true;o:allowincell:false;mso-position-horizontal-relative:text;margin-left:34.9pt;mso-position-horizontal:absolute;mso-position-vertical-relative:text;margin-top:4.1pt;mso-position-vertical:absolute;width:57.8pt;height:26.7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52"/>
                              <w:ind w:firstLine="0"/>
                              <w:jc w:val="center"/>
                              <w:widowControl w:val="off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1136"/>
              <w:jc w:val="center"/>
              <w:widowControl w:val="off"/>
            </w:pPr>
            <w:r/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Зона транспортной инфраструктуры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3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1525" cy="393700"/>
                      <wp:effectExtent l="5080" t="5715" r="5080" b="4445"/>
                      <wp:wrapNone/>
                      <wp:docPr id="18" name="Врезка 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0760" cy="39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33;o:allowoverlap:true;o:allowincell:true;mso-position-horizontal-relative:text;margin-left:35.2pt;mso-position-horizontal:absolute;mso-position-vertical-relative:text;margin-top:3.0pt;mso-position-vertical:absolute;width:60.8pt;height:31.0pt;mso-wrap-distance-left:0.0pt;mso-wrap-distance-top:0.0pt;mso-wrap-distance-right:0.0pt;mso-wrap-distance-bottom:0.0pt;visibility:visible;" fillcolor="#AAFF0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1525" cy="393700"/>
                      <wp:effectExtent l="0" t="0" r="0" b="0"/>
                      <wp:wrapNone/>
                      <wp:docPr id="19" name="Врезка1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0760" cy="39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34;o:allowoverlap:true;o:allowincell:true;mso-position-horizontal-relative:text;margin-left:35.2pt;mso-position-horizontal:absolute;mso-position-vertical-relative:text;margin-top:3.0pt;mso-position-vertical:absolute;width:60.8pt;height:31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1525" cy="393700"/>
                      <wp:effectExtent l="0" t="0" r="0" b="0"/>
                      <wp:wrapNone/>
                      <wp:docPr id="20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0760" cy="39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35;o:allowoverlap:true;o:allowincell:true;mso-position-horizontal-relative:text;margin-left:35.2pt;mso-position-horizontal:absolute;mso-position-vertical-relative:text;margin-top:3.0pt;mso-position-vertical:absolute;width:60.8pt;height:31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1525" cy="393700"/>
                      <wp:effectExtent l="0" t="0" r="0" b="0"/>
                      <wp:wrapNone/>
                      <wp:docPr id="21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0760" cy="39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36;o:allowoverlap:true;o:allowincell:true;mso-position-horizontal-relative:text;margin-left:35.2pt;mso-position-horizontal:absolute;mso-position-vertical-relative:text;margin-top:3.0pt;mso-position-vertical:absolute;width:60.8pt;height:31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1525" cy="393700"/>
                      <wp:effectExtent l="0" t="0" r="0" b="0"/>
                      <wp:wrapNone/>
                      <wp:docPr id="22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0760" cy="393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 xml:space="preserve">4.1</w:t>
                                  </w:r>
                                  <w:r/>
                                </w:p>
                                <w:p>
                                  <w:pPr>
                                    <w:widowControl w:val="off"/>
                                    <w:tabs>
                                      <w:tab w:val="left" w:pos="426" w:leader="none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37;o:allowoverlap:true;o:allowincell:false;mso-position-horizontal-relative:text;margin-left:35.2pt;mso-position-horizontal:absolute;mso-position-vertical-relative:text;margin-top:3.0pt;mso-position-vertical:absolute;width:60.8pt;height:31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4.1</w:t>
                            </w:r>
                            <w:r/>
                          </w:p>
                          <w:p>
                            <w:pPr>
                              <w:widowControl w:val="off"/>
                              <w:tabs>
                                <w:tab w:val="left" w:pos="426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16"/>
              <w:ind w:left="57" w:firstLine="0"/>
              <w:widowControl w:val="off"/>
            </w:pPr>
            <w:r>
              <w:rPr>
                <w:color w:val="000000"/>
                <w:sz w:val="24"/>
              </w:rPr>
              <w:t xml:space="preserve">Зона садоводства, огородничества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49530</wp:posOffset>
                      </wp:positionV>
                      <wp:extent cx="780415" cy="371475"/>
                      <wp:effectExtent l="5080" t="5715" r="5080" b="4445"/>
                      <wp:wrapNone/>
                      <wp:docPr id="23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9760" cy="37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10;o:allowoverlap:true;o:allowincell:true;mso-position-horizontal-relative:text;margin-left:34.9pt;mso-position-horizontal:absolute;mso-position-vertical-relative:text;margin-top:3.9pt;mso-position-vertical:absolute;width:61.4pt;height:29.2pt;mso-wrap-distance-left:0.0pt;mso-wrap-distance-top:0.0pt;mso-wrap-distance-right:0.0pt;mso-wrap-distance-bottom:0.0pt;visibility:visible;" fillcolor="#C0C00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193675</wp:posOffset>
                      </wp:positionV>
                      <wp:extent cx="401955" cy="227330"/>
                      <wp:effectExtent l="0" t="0" r="0" b="0"/>
                      <wp:wrapNone/>
                      <wp:docPr id="24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01400" cy="226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11;o:allowoverlap:true;o:allowincell:true;mso-position-horizontal-relative:text;margin-left:34.9pt;mso-position-horizontal:absolute;mso-position-vertical-relative:text;margin-top:15.2pt;mso-position-vertical:absolute;width:31.6pt;height:17.9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649605" cy="313690"/>
                      <wp:effectExtent l="0" t="0" r="0" b="0"/>
                      <wp:wrapNone/>
                      <wp:docPr id="2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4908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12;o:allowoverlap:true;o:allowincell:true;mso-position-horizontal-relative:text;margin-left:34.9pt;mso-position-horizontal:absolute;mso-position-vertical-relative:text;margin-top:5.1pt;mso-position-vertical:absolute;width:51.1pt;height:24.7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80415" cy="356235"/>
                      <wp:effectExtent l="0" t="0" r="0" b="0"/>
                      <wp:wrapNone/>
                      <wp:docPr id="26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976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4.4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15;o:allowoverlap:true;o:allowincell:true;mso-position-horizontal-relative:text;margin-left:34.9pt;mso-position-horizontal:absolute;mso-position-vertical-relative:text;margin-top:5.1pt;mso-position-vertical:absolute;width:61.4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Производственная зона сельскохозяйственных предприятий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4220" cy="348615"/>
                      <wp:effectExtent l="5080" t="5715" r="5080" b="4445"/>
                      <wp:wrapNone/>
                      <wp:docPr id="27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76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17;o:allowoverlap:true;o:allowincell:true;mso-position-horizontal-relative:text;margin-left:34.9pt;mso-position-horizontal:absolute;mso-position-vertical-relative:text;margin-top:4.5pt;mso-position-vertical:absolute;width:58.6pt;height:27.4pt;mso-wrap-distance-left:0.0pt;mso-wrap-distance-top:0.0pt;mso-wrap-distance-right:0.0pt;mso-wrap-distance-bottom:0.0pt;visibility:visible;" fillcolor="#6AB366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4220" cy="348615"/>
                      <wp:effectExtent l="0" t="0" r="0" b="0"/>
                      <wp:wrapNone/>
                      <wp:docPr id="28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76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18;o:allowoverlap:true;o:allowincell:true;mso-position-horizontal-relative:text;margin-left:34.9pt;mso-position-horizontal:absolute;mso-position-vertical-relative:text;margin-top:4.5pt;mso-position-vertical:absolute;width:58.6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4220" cy="348615"/>
                      <wp:effectExtent l="0" t="0" r="0" b="0"/>
                      <wp:wrapNone/>
                      <wp:docPr id="29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76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8" o:spid="_x0000_s28" o:spt="1" type="#_x0000_t1" style="position:absolute;z-index:19;o:allowoverlap:true;o:allowincell:true;mso-position-horizontal-relative:text;margin-left:34.9pt;mso-position-horizontal:absolute;mso-position-vertical-relative:text;margin-top:4.5pt;mso-position-vertical:absolute;width:58.6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4220" cy="348615"/>
                      <wp:effectExtent l="0" t="0" r="0" b="0"/>
                      <wp:wrapNone/>
                      <wp:docPr id="30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76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9" o:spid="_x0000_s29" o:spt="1" type="#_x0000_t1" style="position:absolute;z-index:20;o:allowoverlap:true;o:allowincell:false;mso-position-horizontal-relative:text;margin-left:34.9pt;mso-position-horizontal:absolute;mso-position-vertical-relative:text;margin-top:4.5pt;mso-position-vertical:absolute;width:58.6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4220" cy="348615"/>
                      <wp:effectExtent l="0" t="0" r="0" b="0"/>
                      <wp:wrapNone/>
                      <wp:docPr id="31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76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5.6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0" o:spid="_x0000_s30" o:spt="1" type="#_x0000_t1" style="position:absolute;z-index:21;o:allowoverlap:true;o:allowincell:false;mso-position-horizontal-relative:text;margin-left:34.9pt;mso-position-horizontal:absolute;mso-position-vertical-relative:text;margin-top:4.5pt;mso-position-vertical:absolute;width:58.6pt;height:27.4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5.6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ind w:left="57"/>
              <w:widowControl w:val="off"/>
            </w:pPr>
            <w:r>
              <w:t xml:space="preserve">Зона озелененных территорий специального назначения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5080" t="5715" r="5080" b="4445"/>
                      <wp:wrapNone/>
                      <wp:docPr id="3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1" o:spid="_x0000_s31" o:spt="1" type="#_x0000_t1" style="position:absolute;z-index:6;o:allowoverlap:true;o:allowincell:true;mso-position-horizontal-relative:text;margin-left:35.1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color="#30500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0" t="0" r="0" b="0"/>
                      <wp:wrapNone/>
                      <wp:docPr id="3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2" o:spid="_x0000_s32" o:spt="1" type="#_x0000_t1" style="position:absolute;z-index:7;o:allowoverlap:true;o:allowincell:true;mso-position-horizontal-relative:text;margin-left:35.1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840" cy="356235"/>
                      <wp:effectExtent l="0" t="0" r="0" b="0"/>
                      <wp:wrapNone/>
                      <wp:docPr id="34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5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8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6.1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3" o:spid="_x0000_s33" o:spt="1" type="#_x0000_t1" style="position:absolute;z-index:16;o:allowoverlap:true;o:allowincell:true;mso-position-horizontal-relative:text;margin-left:35.1pt;mso-position-horizontal:absolute;mso-position-vertical-relative:text;margin-top:4.8pt;mso-position-vertical:absolute;width:59.2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138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Зона кладбищ</w:t>
            </w:r>
            <w:r/>
          </w:p>
        </w:tc>
      </w:tr>
    </w:tbl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</w:pPr>
      <w:r/>
      <w:bookmarkStart w:id="22" w:name="_Toc13"/>
      <w:r/>
      <w:bookmarkStart w:id="23" w:name="_Toc207982675"/>
      <w:r>
        <w:rPr>
          <w:rFonts w:cs="Times New Roman"/>
        </w:rPr>
        <w:t xml:space="preserve"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2"/>
      <w:r/>
      <w:bookmarkEnd w:id="23"/>
      <w:r/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</w:pPr>
      <w:r>
        <w:t xml:space="preserve"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  <w:r/>
    </w:p>
    <w:p>
      <w:pPr>
        <w:pStyle w:val="1116"/>
      </w:pPr>
      <w:r>
        <w:rPr>
          <w:color w:val="000000"/>
        </w:rPr>
        <w:t xml:space="preserve">1) основные виды разрешенного использования;</w:t>
      </w:r>
      <w:r/>
    </w:p>
    <w:p>
      <w:pPr>
        <w:pStyle w:val="1116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 xml:space="preserve">условно разрешенные виды использования;</w:t>
      </w:r>
      <w:r/>
    </w:p>
    <w:p>
      <w:pPr>
        <w:pStyle w:val="1116"/>
      </w:pPr>
      <w:r>
        <w:rPr>
          <w:color w:val="000000"/>
          <w:spacing w:val="4"/>
        </w:rPr>
        <w:t xml:space="preserve">3) вспомогательные виды разрешенного использования, допустимые только в качестве </w:t>
      </w:r>
      <w:r>
        <w:rPr>
          <w:color w:val="000000"/>
          <w:spacing w:val="4"/>
        </w:rPr>
        <w:t xml:space="preserve">дополнительных</w:t>
      </w:r>
      <w:r>
        <w:rPr>
          <w:color w:val="000000"/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  <w:r/>
    </w:p>
    <w:p>
      <w:pPr>
        <w:pStyle w:val="1116"/>
      </w:pPr>
      <w:r>
        <w:rPr>
          <w:color w:val="000000"/>
          <w:spacing w:val="4"/>
        </w:rPr>
        <w:t xml:space="preserve"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</w:t>
      </w:r>
      <w:r>
        <w:rPr>
          <w:color w:val="000000"/>
          <w:spacing w:val="5"/>
          <w:szCs w:val="28"/>
        </w:rPr>
        <w:t xml:space="preserve">й Федерации,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  <w:r/>
    </w:p>
    <w:p>
      <w:pPr>
        <w:pStyle w:val="1116"/>
      </w:pPr>
      <w:r>
        <w:rPr>
          <w:color w:val="000000"/>
          <w:spacing w:val="5"/>
          <w:szCs w:val="28"/>
        </w:rPr>
        <w:t xml:space="preserve">3. Текстовое наименование вида разрешенного использования земельного участка и его код (числовое обозначение) являются равнозначными.</w:t>
      </w:r>
      <w:r/>
    </w:p>
    <w:p>
      <w:pPr>
        <w:pStyle w:val="1116"/>
      </w:pPr>
      <w:r>
        <w:rPr>
          <w:color w:val="000000"/>
        </w:rPr>
        <w:t xml:space="preserve">4.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  <w:r/>
    </w:p>
    <w:p>
      <w:pPr>
        <w:pStyle w:val="111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  <w:r/>
    </w:p>
    <w:p>
      <w:pPr>
        <w:pStyle w:val="1116"/>
      </w:pPr>
      <w:r>
        <w:rPr>
          <w:color w:val="000000"/>
          <w:szCs w:val="28"/>
        </w:rPr>
        <w:t xml:space="preserve"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  <w:r/>
    </w:p>
    <w:p>
      <w:pPr>
        <w:pStyle w:val="111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 xml:space="preserve"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находящихся в государственной или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  <w:r/>
    </w:p>
    <w:p>
      <w:pPr>
        <w:pStyle w:val="1116"/>
      </w:pPr>
      <w:r>
        <w:rPr>
          <w:color w:val="000000"/>
          <w:szCs w:val="28"/>
        </w:rPr>
        <w:t xml:space="preserve">8. </w:t>
      </w:r>
      <w:r>
        <w:rPr>
          <w:color w:val="000000"/>
          <w:szCs w:val="28"/>
        </w:rPr>
        <w:t xml:space="preserve">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</w:t>
      </w:r>
      <w:r>
        <w:rPr>
          <w:color w:val="000000"/>
          <w:szCs w:val="28"/>
        </w:rPr>
        <w:t xml:space="preserve">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r/>
    </w:p>
    <w:p>
      <w:pPr>
        <w:pStyle w:val="1116"/>
      </w:pPr>
      <w:r>
        <w:rPr>
          <w:color w:val="000000"/>
          <w:szCs w:val="28"/>
        </w:rPr>
        <w:t xml:space="preserve">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  <w:r/>
    </w:p>
    <w:p>
      <w:pPr>
        <w:pStyle w:val="1116"/>
      </w:pPr>
      <w:r>
        <w:rPr>
          <w:color w:val="000000"/>
          <w:szCs w:val="28"/>
        </w:rPr>
        <w:t xml:space="preserve">9. Высо</w:t>
      </w:r>
      <w:r>
        <w:rPr>
          <w:color w:val="000000"/>
          <w:szCs w:val="28"/>
        </w:rPr>
        <w:t xml:space="preserve">та объекта капитального строительства определяется как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  <w:r/>
    </w:p>
    <w:p>
      <w:pPr>
        <w:pStyle w:val="1116"/>
      </w:pPr>
      <w:r>
        <w:rPr>
          <w:color w:val="000000"/>
          <w:szCs w:val="28"/>
        </w:rPr>
        <w:t xml:space="preserve">10.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  <w:r/>
    </w:p>
    <w:p>
      <w:pPr>
        <w:pStyle w:val="1116"/>
      </w:pPr>
      <w:r>
        <w:rPr>
          <w:color w:val="000000"/>
          <w:szCs w:val="28"/>
        </w:rPr>
        <w:t xml:space="preserve">11.  Ширина улиц и дорог принимается, 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: магистральных дорог - 50-100; магистральных улиц - 40-100; улиц и дорог местного значения - 15-30.</w:t>
      </w:r>
      <w:r/>
    </w:p>
    <w:p>
      <w:pPr>
        <w:pStyle w:val="1116"/>
        <w:rPr>
          <w:szCs w:val="28"/>
        </w:rPr>
      </w:pPr>
      <w:r>
        <w:rPr>
          <w:szCs w:val="28"/>
        </w:rPr>
      </w:r>
      <w:r/>
    </w:p>
    <w:p>
      <w:pPr>
        <w:pStyle w:val="709"/>
        <w:contextualSpacing/>
      </w:pPr>
      <w:r/>
      <w:bookmarkStart w:id="24" w:name="_Toc14"/>
      <w:r/>
      <w:bookmarkStart w:id="25" w:name="_Toc207982676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 xml:space="preserve">Ж</w:t>
      </w:r>
      <w:r>
        <w:rPr>
          <w:rFonts w:eastAsia="Times New Roman" w:cs="Times New Roman"/>
          <w:color w:val="000000"/>
          <w:lang w:eastAsia="ru-RU"/>
        </w:rPr>
        <w:t xml:space="preserve">илая зона</w:t>
      </w:r>
      <w:r>
        <w:rPr>
          <w:rFonts w:cs="Times New Roman"/>
        </w:rPr>
        <w:t xml:space="preserve"> (</w:t>
      </w:r>
      <w:r>
        <w:rPr>
          <w:rFonts w:cs="Times New Roman"/>
          <w:color w:val="000000"/>
        </w:rPr>
        <w:t xml:space="preserve">1</w:t>
      </w:r>
      <w:r>
        <w:rPr>
          <w:rFonts w:cs="Times New Roman"/>
        </w:rPr>
        <w:t xml:space="preserve">)</w:t>
      </w:r>
      <w:bookmarkEnd w:id="24"/>
      <w:r/>
      <w:bookmarkEnd w:id="25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numPr>
          <w:ilvl w:val="0"/>
          <w:numId w:val="1"/>
        </w:numPr>
        <w:ind w:firstLine="680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  <w:r/>
    </w:p>
    <w:p>
      <w:pPr>
        <w:pStyle w:val="1116"/>
        <w:numPr>
          <w:ilvl w:val="0"/>
          <w:numId w:val="1"/>
        </w:numPr>
        <w:ind w:firstLine="680"/>
        <w:widowControl w:val="off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жилой зоне</w:t>
      </w:r>
      <w:r>
        <w:rPr>
          <w:rFonts w:eastAsia="XO Thames;Times New Roman" w:cs="Times New Roman"/>
          <w:color w:val="000000"/>
          <w:szCs w:val="28"/>
          <w:shd w:val="clear" w:color="auto" w:fill="ffffff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представлены в таблице 11.</w:t>
      </w:r>
      <w:r>
        <w:rPr>
          <w:rFonts w:cs="Times New Roman"/>
          <w:color w:val="000000"/>
          <w:szCs w:val="28"/>
          <w:shd w:val="clear" w:color="auto" w:fill="ffffff"/>
        </w:rPr>
        <w:t xml:space="preserve">1.1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.</w:t>
      </w:r>
      <w:r/>
    </w:p>
    <w:p>
      <w:pPr>
        <w:numPr>
          <w:ilvl w:val="0"/>
          <w:numId w:val="1"/>
        </w:numPr>
        <w:ind w:firstLine="737"/>
        <w:jc w:val="right"/>
        <w:tabs>
          <w:tab w:val="left" w:pos="605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11.1.1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rPr>
          <w:trHeight w:val="5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административные здания организаций, </w:t>
            </w:r>
            <w:r>
              <w:t xml:space="preserve">обеспечи-вающих</w:t>
            </w:r>
            <w: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обеспечение деятельности в области гидрометеор</w:t>
            </w:r>
            <w:r>
              <w:t xml:space="preserve">ологии и смежных с ней областях</w:t>
            </w:r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3.9.1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/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57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2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6"/>
        <w:numPr>
          <w:ilvl w:val="0"/>
          <w:numId w:val="1"/>
        </w:numPr>
        <w:ind w:firstLine="709"/>
      </w:pPr>
      <w: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жилой зоне представлены в таблице 11.1.2.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11.1.2</w:t>
      </w:r>
      <w:r/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080"/>
        <w:gridCol w:w="1078"/>
        <w:gridCol w:w="1222"/>
        <w:gridCol w:w="1108"/>
        <w:gridCol w:w="1403"/>
        <w:gridCol w:w="1770"/>
        <w:gridCol w:w="1365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3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5017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0" w:type="dxa"/>
            <w:textDirection w:val="lrTb"/>
            <w:noWrap w:val="false"/>
          </w:tcPr>
          <w:p>
            <w:pPr>
              <w:pStyle w:val="1136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116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 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r>
              <w:rPr>
                <w:color w:val="000000"/>
                <w:sz w:val="24"/>
                <w:szCs w:val="24"/>
              </w:rPr>
              <w:t xml:space="preserve">домами</w:t>
            </w:r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  <w:r/>
          </w:p>
          <w:p>
            <w:pPr>
              <w:pStyle w:val="1116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5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6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116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7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8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кв.м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numPr>
          <w:ilvl w:val="0"/>
          <w:numId w:val="1"/>
        </w:numPr>
        <w:ind w:firstLine="737"/>
        <w:jc w:val="right"/>
        <w:tabs>
          <w:tab w:val="left" w:pos="605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709"/>
        <w:rPr>
          <w:rFonts w:cs="Times New Roman"/>
        </w:rPr>
      </w:pPr>
      <w:r/>
      <w:bookmarkStart w:id="26" w:name="_Toc15"/>
      <w:r/>
      <w:bookmarkStart w:id="27" w:name="_Toc207982677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2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 xml:space="preserve"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2.</w:t>
      </w:r>
      <w:r>
        <w:rPr>
          <w:rFonts w:cs="Times New Roman"/>
        </w:rPr>
        <w:t xml:space="preserve">2)</w:t>
      </w:r>
      <w:bookmarkEnd w:id="26"/>
      <w:r/>
      <w:bookmarkEnd w:id="27"/>
      <w:r/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  <w:numPr>
          <w:ilvl w:val="0"/>
          <w:numId w:val="1"/>
        </w:numPr>
        <w:ind w:firstLine="709"/>
        <w:rPr>
          <w:rFonts w:cs="Times New Roman"/>
          <w:iCs/>
          <w:color w:val="000000"/>
          <w:szCs w:val="28"/>
          <w:lang w:eastAsia="ar-SA"/>
        </w:rPr>
      </w:pPr>
      <w:r>
        <w:rPr>
          <w:rStyle w:val="732"/>
          <w:rFonts w:cs="Times New Roman"/>
          <w:szCs w:val="28"/>
          <w:lang w:eastAsia="ar-SA"/>
        </w:rPr>
        <w:t xml:space="preserve">1. </w:t>
      </w:r>
      <w:r>
        <w:rPr>
          <w:rStyle w:val="732"/>
          <w:rFonts w:eastAsia="Times New Roman" w:cs="Times New Roman"/>
          <w:color w:val="000000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религиозного использования.</w:t>
      </w:r>
      <w:r/>
    </w:p>
    <w:p>
      <w:pPr>
        <w:pStyle w:val="1116"/>
        <w:numPr>
          <w:ilvl w:val="0"/>
          <w:numId w:val="1"/>
        </w:numPr>
        <w:ind w:firstLine="709"/>
        <w:rPr>
          <w:rFonts w:cs="Times New Roman"/>
          <w:iCs/>
          <w:color w:val="000000"/>
          <w:szCs w:val="28"/>
          <w:lang w:eastAsia="ar-SA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732"/>
          <w:rFonts w:eastAsia="Times New Roman" w:cs="Times New Roman"/>
          <w:iCs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iCs/>
          <w:color w:val="000000"/>
          <w:szCs w:val="28"/>
          <w:lang w:eastAsia="ar-SA"/>
        </w:rPr>
        <w:t xml:space="preserve">представлены в таблице 11.</w:t>
      </w:r>
      <w:r>
        <w:rPr>
          <w:rFonts w:cs="Times New Roman"/>
          <w:iCs/>
          <w:color w:val="000000"/>
          <w:szCs w:val="28"/>
        </w:rPr>
        <w:t xml:space="preserve">2.1</w:t>
      </w:r>
      <w:r>
        <w:rPr>
          <w:rFonts w:cs="Times New Roman"/>
          <w:iCs/>
          <w:color w:val="000000"/>
          <w:szCs w:val="28"/>
          <w:lang w:eastAsia="ar-SA"/>
        </w:rPr>
        <w:t xml:space="preserve">.</w:t>
      </w:r>
      <w:r/>
    </w:p>
    <w:p>
      <w:pPr>
        <w:pStyle w:val="1116"/>
        <w:jc w:val="right"/>
      </w:pPr>
      <w:r>
        <w:rPr>
          <w:rFonts w:cs="Times New Roman"/>
          <w:color w:val="000000"/>
          <w:szCs w:val="28"/>
        </w:rPr>
        <w:t xml:space="preserve">Таблица 11.2.1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религиозное использование.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spacing w:line="255" w:lineRule="exac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a933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Вспомогательные</w:t>
            </w:r>
            <w:r/>
          </w:p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a933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szCs w:val="28"/>
          <w:lang w:eastAsia="ru-RU"/>
        </w:rPr>
        <w:t xml:space="preserve">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зоне </w:t>
      </w:r>
      <w:r>
        <w:rPr>
          <w:rStyle w:val="732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 xml:space="preserve">представлены в таблице 11.2.2.</w:t>
      </w:r>
      <w:r/>
    </w:p>
    <w:p>
      <w:pPr>
        <w:pStyle w:val="1116"/>
        <w:jc w:val="right"/>
      </w:pPr>
      <w:r>
        <w:t xml:space="preserve">Таблица 11.2.2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</w:tbl>
    <w:p>
      <w:pPr>
        <w:pStyle w:val="1116"/>
        <w:rPr>
          <w:rFonts w:cs="Times New Roman"/>
        </w:rPr>
      </w:pPr>
      <w:r>
        <w:rPr>
          <w:rFonts w:cs="Times New Roman"/>
        </w:rPr>
      </w:r>
      <w:r/>
    </w:p>
    <w:p>
      <w:pPr>
        <w:pStyle w:val="709"/>
        <w:contextualSpacing/>
        <w:rPr>
          <w:shd w:val="clear" w:color="auto" w:fill="auto"/>
        </w:rPr>
      </w:pPr>
      <w:r/>
      <w:bookmarkStart w:id="28" w:name="_Toc16"/>
      <w:r/>
      <w:bookmarkStart w:id="29" w:name="_Toc207982678"/>
      <w:r>
        <w:rPr>
          <w:rFonts w:cs="Times New Roman"/>
          <w:color w:val="000000"/>
          <w:shd w:val="clear" w:color="auto" w:fill="auto"/>
        </w:rPr>
        <w:t xml:space="preserve">Статья 11.3. Производственная зона (</w:t>
      </w:r>
      <w:r>
        <w:rPr>
          <w:rFonts w:cs="Times New Roman"/>
          <w:color w:val="000000"/>
        </w:rPr>
        <w:t xml:space="preserve">3.</w:t>
      </w:r>
      <w:r>
        <w:rPr>
          <w:rFonts w:cs="Times New Roman"/>
          <w:color w:val="000000"/>
          <w:shd w:val="clear" w:color="auto" w:fill="auto"/>
        </w:rPr>
        <w:t xml:space="preserve">1)</w:t>
      </w:r>
      <w:bookmarkEnd w:id="28"/>
      <w:r/>
      <w:bookmarkEnd w:id="29"/>
      <w:r/>
      <w:r/>
    </w:p>
    <w:p>
      <w:pPr>
        <w:pStyle w:val="111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116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 xml:space="preserve"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11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 xml:space="preserve">11.3.1.</w:t>
      </w:r>
      <w:r/>
    </w:p>
    <w:p>
      <w:pPr>
        <w:pStyle w:val="1116"/>
        <w:jc w:val="right"/>
      </w:pPr>
      <w:r>
        <w:t xml:space="preserve">Таблица 11.3.1. 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  <w:p>
            <w:pPr>
              <w:pStyle w:val="11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</w:rPr>
            </w:pPr>
            <w:r>
              <w:t xml:space="preserve">пищевая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строительная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энергетика;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связь;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/>
            <w:bookmarkStart w:id="30" w:name="sub_1069"/>
            <w:r>
              <w:t xml:space="preserve">склад</w:t>
            </w:r>
            <w:bookmarkEnd w:id="30"/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железнодорожные пути.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Условно разрешенные виды использования</w:t>
            </w:r>
            <w:r/>
          </w:p>
          <w:p>
            <w:pPr>
              <w:pStyle w:val="114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тяжелая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6.2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4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легкая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6.3</w:t>
            </w:r>
            <w:r/>
          </w:p>
        </w:tc>
      </w:tr>
      <w:tr>
        <w:trPr>
          <w:trHeight w:val="2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4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tabs>
                <w:tab w:val="left" w:pos="1218" w:leader="none"/>
              </w:tabs>
              <w:rPr>
                <w:rFonts w:cs="Times New Roman"/>
                <w:szCs w:val="24"/>
              </w:rPr>
            </w:pPr>
            <w:r>
              <w:t xml:space="preserve">нефтехимическая промышленность.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6.5</w:t>
            </w:r>
            <w:r/>
          </w:p>
        </w:tc>
      </w:tr>
      <w:tr>
        <w:trPr>
          <w:trHeight w:val="14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6"/>
      </w:pPr>
      <w:r/>
      <w:r/>
    </w:p>
    <w:p>
      <w:pPr>
        <w:pStyle w:val="1116"/>
      </w:pPr>
      <w:r>
        <w:t xml:space="preserve"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 xml:space="preserve">в таблице 11.3.2.</w:t>
      </w:r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</w:pPr>
      <w:r/>
      <w:r/>
    </w:p>
    <w:p>
      <w:pPr>
        <w:pStyle w:val="1116"/>
        <w:jc w:val="right"/>
      </w:pPr>
      <w:r>
        <w:t xml:space="preserve">Таблица 11.3.2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02"/>
        <w:gridCol w:w="1102"/>
        <w:gridCol w:w="1470"/>
        <w:gridCol w:w="1836"/>
        <w:gridCol w:w="1346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0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6.5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6"/>
        <w:contextualSpacing/>
      </w:pPr>
      <w:r/>
      <w:r/>
    </w:p>
    <w:p>
      <w:pPr>
        <w:pStyle w:val="709"/>
      </w:pPr>
      <w:r/>
      <w:bookmarkStart w:id="31" w:name="_Toc19"/>
      <w:r/>
      <w:bookmarkStart w:id="32" w:name="_Toc207982679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4</w:t>
      </w:r>
      <w:r>
        <w:rPr>
          <w:rFonts w:cs="Times New Roman"/>
        </w:rPr>
        <w:t xml:space="preserve">. </w:t>
      </w:r>
      <w:r>
        <w:t xml:space="preserve">Зона транспортной инфраструктуры</w:t>
      </w:r>
      <w:r>
        <w:rPr>
          <w:rFonts w:cs="Times New Roman"/>
        </w:rPr>
        <w:t xml:space="preserve"> (3.4)</w:t>
      </w:r>
      <w:bookmarkEnd w:id="31"/>
      <w:r/>
      <w:bookmarkEnd w:id="32"/>
      <w:r/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color w:val="000000"/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дорожного сервиса, автомобильного транспорта</w:t>
      </w:r>
      <w:r>
        <w:rPr>
          <w:color w:val="000000"/>
          <w:szCs w:val="28"/>
        </w:rPr>
        <w:t xml:space="preserve">.</w:t>
      </w:r>
      <w:r/>
    </w:p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транспорт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</w:t>
      </w:r>
      <w:r>
        <w:rPr>
          <w:rFonts w:cs="Times New Roman"/>
          <w:szCs w:val="28"/>
        </w:rPr>
        <w:t xml:space="preserve"> 11.4.1.</w:t>
      </w:r>
      <w:r/>
    </w:p>
    <w:p>
      <w:pPr>
        <w:pStyle w:val="1116"/>
        <w:jc w:val="right"/>
      </w:pPr>
      <w:r>
        <w:rPr>
          <w:rStyle w:val="838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Таблица 11.4.1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rPr>
                <w:color w:val="000000"/>
              </w:rPr>
              <w:t xml:space="preserve">объекты дорожного сервиса;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4.9.1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0000"/>
              </w:rPr>
            </w:pPr>
            <w: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4.9.2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0000"/>
              </w:rPr>
            </w:pPr>
            <w:r>
              <w:t xml:space="preserve">железнодорожный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7.2</w:t>
            </w:r>
            <w:r/>
          </w:p>
        </w:tc>
      </w:tr>
      <w:tr>
        <w:trPr>
          <w:trHeight w:val="2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воздушный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7.4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4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Вспомогательные</w:t>
            </w:r>
            <w:r/>
          </w:p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-</w:t>
            </w:r>
            <w:r/>
          </w:p>
          <w:p>
            <w:pPr>
              <w:pStyle w:val="1136"/>
              <w:ind w:left="57"/>
              <w:jc w:val="center"/>
              <w:widowControl w:val="off"/>
            </w:pPr>
            <w:r/>
            <w:r/>
          </w:p>
        </w:tc>
      </w:tr>
    </w:tbl>
    <w:p>
      <w:pPr>
        <w:pStyle w:val="111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транс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портной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11.4.2.</w:t>
      </w:r>
      <w:r/>
    </w:p>
    <w:p>
      <w:pPr>
        <w:pStyle w:val="111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  <w:r/>
    </w:p>
    <w:p>
      <w:pPr>
        <w:pStyle w:val="1116"/>
        <w:jc w:val="right"/>
      </w:pPr>
      <w:r>
        <w:rPr>
          <w:rStyle w:val="838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Таблица 11.4.2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78"/>
        <w:gridCol w:w="1082"/>
        <w:gridCol w:w="1224"/>
        <w:gridCol w:w="1103"/>
        <w:gridCol w:w="1347"/>
        <w:gridCol w:w="1788"/>
        <w:gridCol w:w="139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 w:val="22"/>
              </w:rPr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7.4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contextualSpacing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rPr>
          <w:shd w:val="clear" w:color="auto" w:fill="auto"/>
        </w:rPr>
      </w:pPr>
      <w:r/>
      <w:bookmarkStart w:id="33" w:name="_Toc207982680"/>
      <w:r>
        <w:rPr>
          <w:rFonts w:cs="Times New Roman"/>
          <w:color w:val="000000"/>
          <w:shd w:val="clear" w:color="auto" w:fill="auto"/>
        </w:rPr>
        <w:t xml:space="preserve">Статья 11.5. Зона садоводства, огородничества (4.1)</w:t>
      </w:r>
      <w:bookmarkEnd w:id="33"/>
      <w:r/>
      <w:r/>
    </w:p>
    <w:p>
      <w:pPr>
        <w:pStyle w:val="1116"/>
        <w:rPr>
          <w:szCs w:val="28"/>
        </w:rPr>
      </w:pPr>
      <w:r>
        <w:rPr>
          <w:szCs w:val="28"/>
        </w:rPr>
      </w:r>
      <w:r/>
    </w:p>
    <w:p>
      <w:pPr>
        <w:pStyle w:val="1116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Зона садовод</w:t>
      </w:r>
      <w:r>
        <w:rPr>
          <w:rFonts w:eastAsia="XO Thames;Times New Roman" w:cs="Times New Roman"/>
          <w:color w:val="000000"/>
          <w:spacing w:val="4"/>
          <w:szCs w:val="28"/>
          <w:lang w:eastAsia="ar-SA"/>
        </w:rPr>
        <w:t xml:space="preserve">ства, огородничества</w:t>
      </w:r>
      <w:r>
        <w:rPr>
          <w:rFonts w:eastAsia="XO Thames;Times New Roman" w:cs="Times New Roman"/>
          <w:szCs w:val="28"/>
          <w:lang w:eastAsia="ar-SA"/>
        </w:rPr>
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  <w:r/>
    </w:p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садовод</w:t>
      </w:r>
      <w:r>
        <w:rPr>
          <w:rFonts w:eastAsia="XO Thames;Times New Roman" w:cs="Times New Roman"/>
          <w:color w:val="000000"/>
          <w:spacing w:val="4"/>
          <w:szCs w:val="28"/>
          <w:lang w:eastAsia="ar-SA"/>
        </w:rPr>
        <w:t xml:space="preserve">ства, огородничества</w:t>
      </w:r>
      <w:r>
        <w:rPr>
          <w:rFonts w:cs="Times New Roman"/>
          <w:szCs w:val="28"/>
        </w:rPr>
        <w:t xml:space="preserve"> представлены в таблице 11.5.1.</w:t>
      </w:r>
      <w:r/>
    </w:p>
    <w:p>
      <w:pPr>
        <w:pStyle w:val="1116"/>
        <w:jc w:val="right"/>
      </w:pPr>
      <w:r>
        <w:rPr>
          <w:rFonts w:cs="Times New Roman"/>
          <w:szCs w:val="28"/>
        </w:rPr>
        <w:t xml:space="preserve">Таблица </w:t>
      </w:r>
      <w:r>
        <w:t xml:space="preserve">11.5.1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szCs w:val="24"/>
              </w:rPr>
            </w:pPr>
            <w:r>
              <w:t xml:space="preserve">земельные участки общего назначения;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13.0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szCs w:val="24"/>
              </w:rPr>
            </w:pPr>
            <w:r>
              <w:t xml:space="preserve">ведение огородничества;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13.1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szCs w:val="24"/>
              </w:rPr>
            </w:pPr>
            <w:r>
              <w:t xml:space="preserve">ведение садоводства.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13.2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Вспомогательные</w:t>
            </w:r>
            <w:r/>
          </w:p>
          <w:p>
            <w:pPr>
              <w:pStyle w:val="1136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57"/>
              <w:jc w:val="center"/>
              <w:widowControl w:val="off"/>
            </w:pPr>
            <w:r>
              <w:t xml:space="preserve">-</w:t>
            </w:r>
            <w:r/>
          </w:p>
          <w:p>
            <w:pPr>
              <w:pStyle w:val="1136"/>
              <w:ind w:left="57"/>
              <w:jc w:val="center"/>
              <w:widowControl w:val="off"/>
            </w:pPr>
            <w:r/>
            <w:r/>
          </w:p>
        </w:tc>
      </w:tr>
    </w:tbl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садовод</w:t>
      </w:r>
      <w:r>
        <w:rPr>
          <w:rFonts w:eastAsia="XO Thames;Times New Roman" w:cs="Times New Roman"/>
          <w:color w:val="000000"/>
          <w:spacing w:val="4"/>
          <w:szCs w:val="28"/>
          <w:lang w:eastAsia="ar-SA"/>
        </w:rPr>
        <w:t xml:space="preserve">ства, огородничества</w:t>
      </w:r>
      <w:r>
        <w:rPr>
          <w:rFonts w:cs="Times New Roman"/>
          <w:szCs w:val="28"/>
        </w:rPr>
        <w:t xml:space="preserve"> представлены в таблице 11.5.2.</w:t>
      </w:r>
      <w:r/>
    </w:p>
    <w:p>
      <w:pPr>
        <w:pStyle w:val="1116"/>
        <w:jc w:val="right"/>
      </w:pPr>
      <w:r>
        <w:t xml:space="preserve">Таблица 11.5.2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7"/>
        <w:gridCol w:w="1375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13.0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852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57" w:right="57"/>
              <w:jc w:val="both"/>
              <w:widowControl w:val="off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</w:tc>
      </w:tr>
    </w:tbl>
    <w:p>
      <w:pPr>
        <w:pStyle w:val="1116"/>
        <w:contextualSpacing/>
      </w:pPr>
      <w:r/>
      <w:r/>
    </w:p>
    <w:p>
      <w:pPr>
        <w:pStyle w:val="709"/>
        <w:contextualSpacing/>
      </w:pPr>
      <w:r/>
      <w:bookmarkStart w:id="34" w:name="_Toc20"/>
      <w:r/>
      <w:bookmarkStart w:id="35" w:name="_Toc207982681"/>
      <w:r>
        <w:rPr>
          <w:rFonts w:eastAsia="Times New Roman" w:cs="Times New Roman"/>
        </w:rPr>
        <w:t xml:space="preserve">Статья 11.</w:t>
      </w:r>
      <w:r>
        <w:rPr>
          <w:rFonts w:eastAsia="Times New Roman" w:cs="Times New Roman"/>
          <w:color w:val="000000"/>
        </w:rPr>
        <w:t xml:space="preserve">6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 xml:space="preserve">Производственная зона сельскохозяйственных предприятий (4.4)</w:t>
      </w:r>
      <w:bookmarkEnd w:id="34"/>
      <w:r/>
      <w:bookmarkEnd w:id="35"/>
      <w:r/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</w:pPr>
      <w:r>
        <w:rPr>
          <w:szCs w:val="28"/>
        </w:rPr>
        <w:t xml:space="preserve">1. 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зона сельскохозяйственных предприятий предназначена для размещения объектов сельскохозяйственного назначения, используемых для сод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116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11.6.1.</w:t>
      </w:r>
      <w:r/>
    </w:p>
    <w:p>
      <w:pPr>
        <w:pStyle w:val="1116"/>
        <w:jc w:val="right"/>
      </w:pPr>
      <w:r>
        <w:t xml:space="preserve">Таблица 11.6.1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животноводство;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1.7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хранение и переработка сельскохозяйственной продукции;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1.15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питомники;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1.17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обеспечение сельскохозяйственного производства.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выращивание зерновых и иных сельскохозяйственных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овощеводство;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выращивание тонизирующих, лекарственных, цветочных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садоводство;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выращивание льна и конопли;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пчеловодство;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рыбоводство;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научное обеспечение сельского хозяйства.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1.14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spacing w:line="255" w:lineRule="exact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6"/>
              <w:spacing w:line="255" w:lineRule="exact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11.6.2.</w:t>
      </w:r>
      <w:r/>
    </w:p>
    <w:p>
      <w:pPr>
        <w:pStyle w:val="1116"/>
        <w:jc w:val="right"/>
      </w:pPr>
      <w:r>
        <w:t xml:space="preserve">Таблица 11.6.2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6"/>
        <w:gridCol w:w="1366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6"/>
        <w:rPr>
          <w:color w:val="000000"/>
        </w:rPr>
      </w:pPr>
      <w:r>
        <w:rPr>
          <w:color w:val="000000"/>
        </w:rPr>
      </w:r>
      <w:r/>
    </w:p>
    <w:p>
      <w:pPr>
        <w:pStyle w:val="709"/>
        <w:rPr>
          <w:rFonts w:cs="Times New Roman"/>
        </w:rPr>
      </w:pPr>
      <w:r/>
      <w:bookmarkStart w:id="36" w:name="_Toc23"/>
      <w:r/>
      <w:bookmarkStart w:id="37" w:name="_Toc207982682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7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 xml:space="preserve">Зона озелененных территорий специального</w:t>
      </w:r>
      <w:r>
        <w:rPr>
          <w:rFonts w:cs="Times New Roman"/>
          <w:color w:val="000000"/>
          <w:shd w:val="clear" w:color="auto" w:fill="auto"/>
        </w:rPr>
        <w:br/>
        <w:t xml:space="preserve">назначения (5.6)</w:t>
      </w:r>
      <w:bookmarkEnd w:id="36"/>
      <w:r/>
      <w:bookmarkEnd w:id="37"/>
      <w:r/>
      <w:r/>
    </w:p>
    <w:p>
      <w:r/>
      <w:r/>
    </w:p>
    <w:p>
      <w:pPr>
        <w:pStyle w:val="1116"/>
      </w:pPr>
      <w:r>
        <w:rPr>
          <w:rStyle w:val="732"/>
          <w:rFonts w:eastAsia="Times New Roman" w:cs="Times New Roman"/>
          <w:szCs w:val="28"/>
          <w:lang w:eastAsia="ru-RU"/>
        </w:rPr>
        <w:t xml:space="preserve"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  <w:r/>
    </w:p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11.7.1.</w:t>
      </w:r>
      <w:r/>
    </w:p>
    <w:p>
      <w:pPr>
        <w:pStyle w:val="111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11.7.1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7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63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5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>
          <w:trHeight w:val="5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6"/>
      </w:pPr>
      <w:r>
        <w:rPr>
          <w:rFonts w:cs="Times New Roman"/>
          <w:szCs w:val="28"/>
        </w:rPr>
        <w:t xml:space="preserve"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 xml:space="preserve">зон</w:t>
      </w:r>
      <w:r>
        <w:rPr>
          <w:rFonts w:cs="Times New Roman"/>
          <w:szCs w:val="28"/>
          <w:lang w:eastAsia="ar-SA"/>
        </w:rPr>
        <w:t xml:space="preserve"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11.7.2.</w:t>
      </w:r>
      <w:r/>
    </w:p>
    <w:p>
      <w:pPr>
        <w:pStyle w:val="1116"/>
        <w:jc w:val="righ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ar-SA"/>
        </w:rPr>
        <w:t xml:space="preserve">Таблица 11.7.2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76"/>
        <w:gridCol w:w="1019"/>
        <w:gridCol w:w="1126"/>
        <w:gridCol w:w="1080"/>
        <w:gridCol w:w="1330"/>
        <w:gridCol w:w="1970"/>
        <w:gridCol w:w="1457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pStyle w:val="1136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Код</w:t>
            </w:r>
            <w:r/>
          </w:p>
          <w:p>
            <w:pPr>
              <w:pStyle w:val="1136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вида раз-</w:t>
            </w:r>
            <w:r/>
          </w:p>
          <w:p>
            <w:pPr>
              <w:pStyle w:val="1136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решен-</w:t>
            </w:r>
            <w:r>
              <w:rPr>
                <w:szCs w:val="24"/>
              </w:rPr>
              <w:t xml:space="preserve">ного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земельного 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0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от границ земельного участка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0" w:type="dxa"/>
            <w:vAlign w:val="center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Merge w:val="restart"/>
            <w:textDirection w:val="lrTb"/>
            <w:noWrap w:val="false"/>
          </w:tcPr>
          <w:p>
            <w:pPr>
              <w:pStyle w:val="1136"/>
              <w:ind w:left="-28"/>
              <w:jc w:val="center"/>
              <w:widowControl w:val="off"/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418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0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  <w:tblHeader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6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70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6"/>
      </w:pPr>
      <w:r/>
      <w:r/>
    </w:p>
    <w:p>
      <w:pPr>
        <w:pStyle w:val="709"/>
      </w:pPr>
      <w:r/>
      <w:bookmarkStart w:id="38" w:name="_Toc24"/>
      <w:r/>
      <w:bookmarkStart w:id="39" w:name="_Toc207982683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8</w:t>
      </w:r>
      <w:r>
        <w:rPr>
          <w:rFonts w:cs="Times New Roman"/>
        </w:rPr>
        <w:t xml:space="preserve">. Зона кладбищ (</w:t>
      </w:r>
      <w:r>
        <w:rPr>
          <w:rFonts w:cs="Times New Roman"/>
          <w:color w:val="000000"/>
        </w:rPr>
        <w:t xml:space="preserve">6.</w:t>
      </w:r>
      <w:r>
        <w:rPr>
          <w:rFonts w:cs="Times New Roman"/>
        </w:rPr>
        <w:t xml:space="preserve">1)</w:t>
      </w:r>
      <w:bookmarkEnd w:id="38"/>
      <w:r/>
      <w:bookmarkEnd w:id="39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t xml:space="preserve">1. </w:t>
      </w:r>
      <w:r>
        <w:rPr>
          <w:rFonts w:eastAsia="Times New Roman"/>
          <w:szCs w:val="28"/>
          <w:lang w:eastAsia="ru-RU"/>
        </w:rPr>
        <w:t xml:space="preserve"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116"/>
      </w:pPr>
      <w:r>
        <w:rPr>
          <w:rFonts w:eastAsia="Times New Roman" w:cs="Times New Roman"/>
          <w:szCs w:val="28"/>
          <w:lang w:eastAsia="ru-RU"/>
        </w:rPr>
        <w:t xml:space="preserve"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11.8.1.</w:t>
      </w:r>
      <w:r/>
    </w:p>
    <w:p>
      <w:pPr>
        <w:pStyle w:val="1116"/>
        <w:jc w:val="right"/>
      </w:pPr>
      <w:r>
        <w:t xml:space="preserve">Таблица 11.8.1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ритуальная деятельность.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6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6"/>
      </w:pPr>
      <w:r>
        <w:rPr>
          <w:rFonts w:cs="Times New Roman"/>
          <w:szCs w:val="28"/>
        </w:rPr>
        <w:t xml:space="preserve"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11.8.2.</w:t>
      </w:r>
      <w:r/>
    </w:p>
    <w:p>
      <w:pPr>
        <w:pStyle w:val="1116"/>
        <w:jc w:val="right"/>
      </w:pPr>
      <w:r>
        <w:t xml:space="preserve">Таблица 11.8.2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Merge w:val="restart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6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100000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36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6"/>
        <w:rPr>
          <w:szCs w:val="28"/>
        </w:rPr>
      </w:pPr>
      <w:r>
        <w:rPr>
          <w:szCs w:val="28"/>
        </w:rPr>
      </w:r>
      <w:r/>
    </w:p>
    <w:p>
      <w:pPr>
        <w:pStyle w:val="709"/>
      </w:pPr>
      <w:r/>
      <w:bookmarkStart w:id="40" w:name="_Toc26"/>
      <w:r/>
      <w:bookmarkStart w:id="41" w:name="_Toc207982684"/>
      <w:r>
        <w:rPr>
          <w:rFonts w:cs="Times New Roman"/>
        </w:rPr>
        <w:t xml:space="preserve"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 xml:space="preserve">не устанавливаются</w:t>
      </w:r>
      <w:bookmarkEnd w:id="40"/>
      <w:r/>
      <w:bookmarkEnd w:id="41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rPr>
          <w:rFonts w:eastAsia="Times New Roman" w:cs="Times New Roman"/>
          <w:spacing w:val="5"/>
          <w:szCs w:val="28"/>
        </w:rPr>
        <w:t xml:space="preserve"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cs="Times New Roman"/>
          <w:color w:val="000000"/>
          <w:spacing w:val="5"/>
          <w:szCs w:val="32"/>
        </w:rPr>
        <w:t xml:space="preserve">Касимовский</w:t>
      </w:r>
      <w:r>
        <w:rPr>
          <w:rFonts w:cs="Times New Roman"/>
          <w:color w:val="000000"/>
          <w:spacing w:val="5"/>
          <w:szCs w:val="32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color w:val="000000"/>
          <w:spacing w:val="5"/>
          <w:szCs w:val="28"/>
        </w:rPr>
        <w:t xml:space="preserve">Торбаевск</w:t>
      </w:r>
      <w:r>
        <w:rPr>
          <w:rFonts w:cs="Times New Roman"/>
          <w:color w:val="000000"/>
          <w:spacing w:val="5"/>
          <w:szCs w:val="32"/>
        </w:rPr>
        <w:t xml:space="preserve">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 </w:t>
      </w:r>
      <w:r>
        <w:rPr>
          <w:rFonts w:cs="Times New Roman"/>
          <w:color w:val="000000"/>
          <w:spacing w:val="5"/>
          <w:szCs w:val="28"/>
        </w:rPr>
        <w:t xml:space="preserve">выделены земли</w:t>
      </w:r>
      <w:r>
        <w:rPr>
          <w:color w:val="000000"/>
          <w:spacing w:val="5"/>
          <w:szCs w:val="28"/>
        </w:rPr>
        <w:t xml:space="preserve"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  <w:r/>
    </w:p>
    <w:p>
      <w:pPr>
        <w:pStyle w:val="1116"/>
        <w:jc w:val="right"/>
      </w:pPr>
      <w:r>
        <w:t xml:space="preserve">Таблица 12.1</w:t>
      </w:r>
      <w:r/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9"/>
      </w:tblGrid>
      <w:tr>
        <w:trPr>
          <w:trHeight w:val="682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136"/>
              <w:jc w:val="center"/>
              <w:widowControl w:val="off"/>
            </w:pPr>
            <w:r>
              <w:t xml:space="preserve">земель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t xml:space="preserve">Наименование земель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-3810</wp:posOffset>
                      </wp:positionV>
                      <wp:extent cx="751840" cy="355600"/>
                      <wp:effectExtent l="5715" t="5080" r="4445" b="5080"/>
                      <wp:wrapNone/>
                      <wp:docPr id="35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4" o:spid="_x0000_s34" o:spt="1" type="#_x0000_t1" style="position:absolute;z-index:3;o:allowoverlap:true;o:allowincell:true;mso-position-horizontal-relative:text;margin-left:34.9pt;mso-position-horizontal:absolute;mso-position-vertical-relative:text;margin-top:-0.3pt;mso-position-vertical:absolute;width:59.2pt;height:28.0pt;mso-wrap-distance-left:0.0pt;mso-wrap-distance-top:0.0pt;mso-wrap-distance-right:0.0pt;mso-wrap-distance-bottom:0.0pt;visibility:visible;" fillcolor="#D0E0A0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лесного фонда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4445</wp:posOffset>
                      </wp:positionV>
                      <wp:extent cx="751840" cy="355600"/>
                      <wp:effectExtent l="5080" t="5715" r="5080" b="4445"/>
                      <wp:wrapNone/>
                      <wp:docPr id="36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132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5" o:spid="_x0000_s35" o:spt="1" type="#_x0000_t1" style="position:absolute;z-index:4;o:allowoverlap:true;o:allowincell:true;mso-position-horizontal-relative:text;margin-left:34.9pt;mso-position-horizontal:absolute;mso-position-vertical-relative:text;margin-top:0.3pt;mso-position-vertical:absolute;width:59.2pt;height:28.0pt;mso-wrap-distance-left:0.0pt;mso-wrap-distance-top:0.0pt;mso-wrap-distance-right:0.0pt;mso-wrap-distance-bottom:0.0pt;visibility:visible;" fillcolor="#C4E6B2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сельскохозяйственных угодий</w:t>
            </w:r>
            <w:r/>
          </w:p>
        </w:tc>
      </w:tr>
    </w:tbl>
    <w:p>
      <w:pPr>
        <w:pStyle w:val="111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 лесного фонда, </w:t>
      </w:r>
      <w:r>
        <w:rPr>
          <w:rFonts w:eastAsia="Times New Roman" w:cs="Times New Roman"/>
          <w:bCs/>
          <w:szCs w:val="28"/>
          <w:lang w:eastAsia="ru-RU"/>
        </w:rPr>
        <w:t xml:space="preserve"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 xml:space="preserve">.</w:t>
      </w:r>
      <w:r/>
    </w:p>
    <w:p>
      <w:pPr>
        <w:pStyle w:val="1116"/>
      </w:pP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3. Исп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</w:pPr>
      <w:r/>
      <w:bookmarkStart w:id="42" w:name="_Toc27"/>
      <w:r/>
      <w:bookmarkStart w:id="43" w:name="_Toc207982685"/>
      <w:r>
        <w:rPr>
          <w:rFonts w:cs="Times New Roman"/>
          <w:color w:val="000000"/>
          <w:shd w:val="clear" w:color="auto" w:fill="auto"/>
        </w:rPr>
        <w:t xml:space="preserve">Статья 13. Требования к архитектурно-градостроительному облику объектов капитального строительства</w:t>
      </w:r>
      <w:bookmarkEnd w:id="42"/>
      <w:r/>
      <w:bookmarkEnd w:id="43"/>
      <w:r/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На территории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муниципального округа Рязанской области применительно к территории </w:t>
      </w:r>
      <w:r>
        <w:rPr>
          <w:rFonts w:cs="Times New Roman"/>
          <w:color w:val="000000"/>
          <w:spacing w:val="5"/>
          <w:szCs w:val="28"/>
        </w:rPr>
        <w:t xml:space="preserve">Торбаевск</w:t>
      </w:r>
      <w:r>
        <w:rPr>
          <w:rFonts w:cs="Times New Roman"/>
          <w:color w:val="000000"/>
          <w:spacing w:val="5"/>
          <w:szCs w:val="32"/>
        </w:rPr>
        <w:t xml:space="preserve">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</w:t>
      </w:r>
      <w:r>
        <w:rPr>
          <w:rFonts w:cs="Times New Roman"/>
          <w:color w:val="000000"/>
          <w:szCs w:val="28"/>
        </w:rPr>
        <w:t xml:space="preserve"> не предусмотрено требований к архитектурно-градостроительному облику объектов капитального строительства. </w:t>
      </w:r>
      <w:r>
        <w:rPr>
          <w:rFonts w:cs="Times New Roman"/>
          <w:color w:val="000000"/>
          <w:szCs w:val="28"/>
        </w:rPr>
        <w:t xml:space="preserve">В связи с этим требования к архитектурно-градостроительному облику объектов капитального строительства в соответствии с пунктом</w:t>
      </w:r>
      <w:r>
        <w:rPr>
          <w:rFonts w:cs="Times New Roman"/>
          <w:color w:val="000000"/>
          <w:szCs w:val="28"/>
        </w:rPr>
        <w:t xml:space="preserve"> 2.1 части 6 статьи 30 Градостроительного кодекса Российской Федерации не устанавливаются.</w:t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</w:pPr>
      <w:r/>
      <w:bookmarkStart w:id="44" w:name="_Toc28"/>
      <w:r/>
      <w:bookmarkStart w:id="45" w:name="_Toc207982686"/>
      <w:r>
        <w:rPr>
          <w:rFonts w:cs="Times New Roman"/>
          <w:color w:val="000000"/>
          <w:shd w:val="clear" w:color="auto" w:fill="auto"/>
        </w:rPr>
        <w:t xml:space="preserve">Статья 14</w:t>
      </w:r>
      <w:r>
        <w:rPr>
          <w:rFonts w:cs="Times New Roman"/>
          <w:color w:val="000000"/>
          <w:shd w:val="clear" w:color="auto" w:fill="auto"/>
        </w:rPr>
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4"/>
      <w:r/>
      <w:bookmarkEnd w:id="45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  <w:numPr>
          <w:ilvl w:val="0"/>
          <w:numId w:val="1"/>
        </w:numPr>
        <w:contextualSpacing/>
        <w:ind w:firstLine="709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Расчетные показатели 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 xml:space="preserve">м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, представлены в таблице</w:t>
      </w:r>
      <w:r>
        <w:rPr>
          <w:rFonts w:eastAsia="Arial" w:cs="Times New Roman"/>
          <w:color w:val="000000"/>
          <w:spacing w:val="4"/>
          <w:szCs w:val="28"/>
        </w:rPr>
        <w:t xml:space="preserve"> в таблице 14.1.</w:t>
      </w:r>
      <w:r/>
    </w:p>
    <w:p>
      <w:pPr>
        <w:pStyle w:val="1116"/>
        <w:numPr>
          <w:ilvl w:val="0"/>
          <w:numId w:val="1"/>
        </w:numPr>
        <w:contextualSpacing/>
        <w:ind w:firstLine="709"/>
        <w:jc w:val="right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Таблица 14.1</w:t>
      </w:r>
      <w:r/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3005"/>
        <w:gridCol w:w="3005"/>
      </w:tblGrid>
      <w:tr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Наименование 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Значение расчетного показателя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116"/>
              <w:numPr>
                <w:ilvl w:val="0"/>
                <w:numId w:val="1"/>
              </w:numPr>
              <w:contextualSpacing/>
              <w:jc w:val="center"/>
              <w:widowControl w:val="off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Минимально допустимый уровень обеспеченности территории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116"/>
              <w:numPr>
                <w:ilvl w:val="0"/>
                <w:numId w:val="1"/>
              </w:numPr>
              <w:contextualSpacing/>
              <w:jc w:val="center"/>
              <w:widowControl w:val="off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rPr>
          <w:trHeight w:val="6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Дошкольные 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25 места 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szCs w:val="24"/>
              </w:rPr>
              <w:t xml:space="preserve">1000 м*</w:t>
            </w:r>
            <w:r/>
          </w:p>
        </w:tc>
      </w:tr>
      <w:tr>
        <w:trPr>
          <w:trHeight w:val="624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Общеобразовательные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организации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112 места 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1000 м*</w:t>
            </w:r>
            <w:r/>
          </w:p>
        </w:tc>
      </w:tr>
      <w:tr>
        <w:trPr>
          <w:trHeight w:val="12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*</w:t>
            </w:r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4"/>
                <w:color w:val="000000"/>
                <w:szCs w:val="24"/>
              </w:rPr>
              <w:t xml:space="preserve">12 </w:t>
            </w:r>
            <w:r>
              <w:rPr>
                <w:rStyle w:val="1114"/>
                <w:color w:val="000000"/>
                <w:szCs w:val="24"/>
              </w:rPr>
              <w:t xml:space="preserve">кв</w:t>
            </w:r>
            <w:r>
              <w:rPr>
                <w:rStyle w:val="1114"/>
                <w:color w:val="000000"/>
                <w:szCs w:val="24"/>
              </w:rPr>
              <w:t xml:space="preserve">.м</w:t>
            </w:r>
            <w:r>
              <w:rPr>
                <w:rStyle w:val="1114"/>
                <w:color w:val="000000"/>
                <w:szCs w:val="24"/>
              </w:rPr>
              <w:t xml:space="preserve">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15 минут пешеходной доступности</w:t>
            </w:r>
            <w:r/>
          </w:p>
        </w:tc>
      </w:tr>
      <w:tr>
        <w:trPr>
          <w:trHeight w:val="14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  <w:szCs w:val="24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на территори</w:t>
            </w:r>
            <w:r>
              <w:rPr>
                <w:color w:val="000000"/>
                <w:szCs w:val="24"/>
              </w:rPr>
              <w:t xml:space="preserve">ях общего пользования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0,6 </w:t>
            </w:r>
            <w:r>
              <w:t xml:space="preserve">кв</w:t>
            </w:r>
            <w:r>
              <w:t xml:space="preserve">.м</w:t>
            </w:r>
            <w:r>
              <w:t xml:space="preserve">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800 м</w:t>
            </w:r>
            <w:r/>
          </w:p>
        </w:tc>
      </w:tr>
      <w:tr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для обеспеченности населения многоквартирного жилого дома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1 </w:t>
            </w:r>
            <w:r>
              <w:t xml:space="preserve">машино</w:t>
            </w:r>
            <w:r>
              <w:t xml:space="preserve">-место на 86 </w:t>
            </w:r>
            <w:r>
              <w:t xml:space="preserve">кв</w:t>
            </w:r>
            <w:r>
              <w:t xml:space="preserve">.м</w:t>
            </w:r>
            <w:r/>
          </w:p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общей площади квартир</w:t>
            </w:r>
            <w:r>
              <w:rPr>
                <w:rFonts w:eastAsia="Times New Roman" w:cs="Times New Roman"/>
              </w:rPr>
              <w:t xml:space="preserve">*</w:t>
            </w:r>
            <w:r>
              <w:rPr>
                <w:rFonts w:eastAsia="Times New Roman" w:cs="Times New Roman"/>
                <w:vertAlign w:val="superscript"/>
              </w:rPr>
              <w:t xml:space="preserve">4</w:t>
            </w:r>
            <w:r/>
          </w:p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4"/>
                <w:color w:val="000000"/>
                <w:szCs w:val="24"/>
              </w:rPr>
              <w:t xml:space="preserve">в границах земельного участка многоквартирного жилого дома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800 м</w:t>
            </w:r>
            <w:r>
              <w:rPr>
                <w:rFonts w:eastAsia="Times New Roman" w:cs="Times New Roman"/>
                <w:color w:val="000000"/>
              </w:rPr>
              <w:t xml:space="preserve"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114"/>
                <w:szCs w:val="24"/>
              </w:rPr>
              <w:t xml:space="preserve">Количество </w:t>
            </w:r>
            <w:r>
              <w:rPr>
                <w:rStyle w:val="1114"/>
                <w:szCs w:val="24"/>
              </w:rPr>
              <w:t xml:space="preserve">машино</w:t>
            </w:r>
            <w:r>
              <w:rPr>
                <w:rStyle w:val="1114"/>
                <w:szCs w:val="24"/>
              </w:rPr>
              <w:t xml:space="preserve">-мест</w:t>
            </w:r>
            <w:r>
              <w:rPr>
                <w:rStyle w:val="1114"/>
                <w:szCs w:val="24"/>
              </w:rPr>
              <w:br/>
              <w:t xml:space="preserve">для объектов обслуживая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114"/>
                <w:szCs w:val="24"/>
              </w:rPr>
              <w:t xml:space="preserve">жилой застройки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Объекты водоснабжения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водоотведения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водоотведения)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электроснабжения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(объем электропотребления)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950 </w:t>
            </w:r>
            <w:r>
              <w:rPr>
                <w:color w:val="000000"/>
                <w:szCs w:val="24"/>
              </w:rPr>
              <w:t xml:space="preserve">кВт·</w:t>
            </w:r>
            <w:r>
              <w:rPr>
                <w:color w:val="000000"/>
                <w:szCs w:val="24"/>
              </w:rPr>
              <w:t xml:space="preserve">ч</w:t>
            </w:r>
            <w:r>
              <w:rPr>
                <w:color w:val="000000"/>
                <w:szCs w:val="24"/>
              </w:rPr>
              <w:t xml:space="preserve">/чел в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 xml:space="preserve">газопотребления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(объем </w:t>
            </w:r>
            <w:r>
              <w:rPr>
                <w:szCs w:val="24"/>
              </w:rPr>
              <w:t xml:space="preserve">газопотребления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220 м3/год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(расход тепловой энергии на отопление и вентиляцию здания)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6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393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153"/>
              <w:numPr>
                <w:ilvl w:val="0"/>
                <w:numId w:val="1"/>
              </w:numPr>
              <w:ind w:left="57" w:right="57"/>
              <w:spacing w:line="283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 xml:space="preserve">(до организации и обратно). Расстояние транспортного обслуживания не должно превышать 30 км в одну сторону.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83" w:lineRule="exact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2</w:t>
            </w:r>
            <w:r>
              <w:rPr>
                <w:color w:val="000000"/>
                <w:szCs w:val="24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  <w:r/>
          </w:p>
          <w:p>
            <w:pPr>
              <w:pStyle w:val="1136"/>
              <w:numPr>
                <w:ilvl w:val="0"/>
                <w:numId w:val="1"/>
              </w:numPr>
              <w:ind w:left="57" w:right="57"/>
              <w:jc w:val="both"/>
              <w:spacing w:line="283" w:lineRule="exact"/>
              <w:widowControl w:val="off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Размер вновь создаваемой площадки для занятий физкультурой взрослого населения</w:t>
            </w:r>
            <w:r>
              <w:rPr>
                <w:color w:val="000000"/>
                <w:szCs w:val="24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153"/>
              <w:numPr>
                <w:ilvl w:val="0"/>
                <w:numId w:val="1"/>
              </w:numPr>
              <w:ind w:left="57" w:right="57"/>
              <w:spacing w:line="283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 xml:space="preserve">4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83" w:lineRule="exact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5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Cs w:val="24"/>
              </w:rPr>
              <w:t xml:space="preserve">П</w:t>
            </w:r>
            <w:r>
              <w:rPr>
                <w:color w:val="000000"/>
                <w:szCs w:val="24"/>
              </w:rPr>
              <w:t xml:space="preserve">ри реализации комплексного развития территории, часть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допускается размещать вне границ земельног</w:t>
            </w:r>
            <w:r>
              <w:rPr>
                <w:color w:val="000000"/>
                <w:szCs w:val="24"/>
              </w:rPr>
              <w:t xml:space="preserve">о(</w:t>
            </w:r>
            <w:r>
              <w:rPr>
                <w:color w:val="000000"/>
                <w:szCs w:val="24"/>
              </w:rPr>
              <w:t xml:space="preserve">ых</w:t>
            </w:r>
            <w:r>
              <w:rPr>
                <w:color w:val="000000"/>
                <w:szCs w:val="24"/>
              </w:rPr>
              <w:t xml:space="preserve">) участка(</w:t>
            </w:r>
            <w:r>
              <w:rPr>
                <w:color w:val="000000"/>
                <w:szCs w:val="24"/>
              </w:rPr>
              <w:t xml:space="preserve">ов</w:t>
            </w:r>
            <w:r>
              <w:rPr>
                <w:color w:val="000000"/>
                <w:szCs w:val="24"/>
              </w:rPr>
              <w:t xml:space="preserve"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  <w:r/>
          </w:p>
        </w:tc>
      </w:tr>
    </w:tbl>
    <w:p>
      <w:pPr>
        <w:pStyle w:val="1116"/>
        <w:contextualSpacing/>
        <w:jc w:val="left"/>
        <w:rPr>
          <w:szCs w:val="28"/>
        </w:rPr>
      </w:pPr>
      <w:r>
        <w:rPr>
          <w:szCs w:val="28"/>
        </w:rPr>
      </w:r>
      <w:r/>
    </w:p>
    <w:p>
      <w:pPr>
        <w:pStyle w:val="709"/>
        <w:contextualSpacing/>
      </w:pPr>
      <w:r/>
      <w:bookmarkStart w:id="46" w:name="_Toc29"/>
      <w:r/>
      <w:bookmarkStart w:id="47" w:name="_Toc207982687"/>
      <w:r>
        <w:rPr>
          <w:rFonts w:cs="Times New Roman"/>
          <w:color w:val="000000"/>
          <w:shd w:val="clear" w:color="auto" w:fill="auto"/>
        </w:rPr>
        <w:t xml:space="preserve">Статья 15. Ограничения использования земельных участков и объектов капитального строительства</w:t>
      </w:r>
      <w:bookmarkEnd w:id="46"/>
      <w:r/>
      <w:bookmarkEnd w:id="47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t xml:space="preserve">1. </w:t>
      </w:r>
      <w:r>
        <w:t xml:space="preserve">В соответствии со статьей 1 Градостроительного кодекса Российской Федерации к зонам с особыми условиями исп</w:t>
      </w:r>
      <w:r>
        <w:t xml:space="preserve">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r>
        <w:t xml:space="preserve">водоохранные</w:t>
      </w:r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r>
        <w:t xml:space="preserve">приаэродромная</w:t>
      </w:r>
      <w:r>
        <w:t xml:space="preserve"> территория, иные</w:t>
      </w:r>
      <w:r>
        <w:t xml:space="preserve"> зоны, устанавливаемые в соответствии с законодательством Российской Федерации.</w:t>
      </w:r>
      <w:r/>
    </w:p>
    <w:p>
      <w:pPr>
        <w:pStyle w:val="1116"/>
      </w:pPr>
      <w:r>
        <w:t xml:space="preserve">2. </w:t>
      </w:r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 xml:space="preserve"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были установлены в порядке,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от 03.08.2018 № 342-ФЗ «О внесении изменений в Градостроительный кодекс</w:t>
      </w:r>
      <w:r>
        <w:rPr>
          <w:rFonts w:eastAsia="Times New Roman" w:cs="Times New Roman"/>
          <w:spacing w:val="2"/>
          <w:szCs w:val="28"/>
          <w:lang w:eastAsia="ru-RU"/>
        </w:rPr>
        <w:t xml:space="preserve"> Российской Федерации и о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тдельные законодательные акты Российской Федерации». </w:t>
      </w:r>
      <w:r/>
    </w:p>
    <w:p>
      <w:pPr>
        <w:pStyle w:val="1116"/>
        <w:rPr>
          <w:shd w:val="clear" w:color="auto" w:fill="ffffff"/>
        </w:rPr>
      </w:pPr>
      <w:r>
        <w:rPr>
          <w:rFonts w:eastAsia="MS Mincho;ＭＳ 明朝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shd w:val="clear" w:color="auto" w:fill="ffffff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  <w:r/>
    </w:p>
    <w:p>
      <w:pPr>
        <w:pStyle w:val="1116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4. Ограничения использования земельных участков и объектов капитального строительства на территории ЗОУИТ определяют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ся в соответствии с законодательством Российской Федерации.</w:t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09"/>
        <w:contextualSpacing/>
      </w:pPr>
      <w:r/>
      <w:bookmarkStart w:id="48" w:name="_Toc30"/>
      <w:r/>
      <w:bookmarkStart w:id="49" w:name="_Toc207982688"/>
      <w:r>
        <w:rPr>
          <w:rFonts w:cs="Times New Roman"/>
          <w:bCs w:val="0"/>
          <w:color w:val="000000"/>
          <w:shd w:val="clear" w:color="auto" w:fill="auto"/>
        </w:rPr>
        <w:t xml:space="preserve"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</w:t>
      </w:r>
      <w:bookmarkEnd w:id="48"/>
      <w:r/>
      <w:bookmarkEnd w:id="49"/>
      <w:r/>
      <w:r/>
    </w:p>
    <w:p>
      <w:pPr>
        <w:pStyle w:val="111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116"/>
      </w:pPr>
      <w:r>
        <w:rPr>
          <w:rFonts w:cs="Times New Roman"/>
        </w:rPr>
        <w:t xml:space="preserve">1. Санитарно-защитная зона </w:t>
      </w:r>
      <w:r>
        <w:rPr>
          <w:rFonts w:cs="Times New Roman"/>
          <w:spacing w:val="5"/>
        </w:rPr>
        <w:t xml:space="preserve">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это специальная территория с особым режимом использования, устанавливаемая вокруг объектов и производств, являющихся источниками воздействия на среду обитания и здоровья человека.</w:t>
      </w:r>
      <w:r/>
    </w:p>
    <w:p>
      <w:pPr>
        <w:pStyle w:val="1116"/>
        <w:rPr>
          <w:highlight w:val="yellow"/>
          <w:u w:val="single"/>
        </w:rPr>
      </w:pPr>
      <w:r>
        <w:rPr>
          <w:color w:val="000000"/>
          <w:szCs w:val="28"/>
        </w:rPr>
        <w:t xml:space="preserve">2. Правила установления санитарно-защитных зон и использования земельных участков, расположенных в границах санитарно-защитных зон</w:t>
      </w:r>
      <w:r>
        <w:rPr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утверждены постановлением Правительства РФ от 03.03.2018 № 222 </w:t>
      </w:r>
      <w:r/>
    </w:p>
    <w:p>
      <w:pPr>
        <w:pStyle w:val="1116"/>
      </w:pPr>
      <w:r>
        <w:rPr>
          <w:szCs w:val="28"/>
        </w:rPr>
        <w:t xml:space="preserve">3. Санитарно-защ</w:t>
      </w:r>
      <w:r>
        <w:rPr>
          <w:szCs w:val="28"/>
        </w:rPr>
        <w:t xml:space="preserve">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szCs w:val="28"/>
        </w:rPr>
        <w:br/>
        <w:t xml:space="preserve">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  <w:r/>
    </w:p>
    <w:p>
      <w:pPr>
        <w:pStyle w:val="1116"/>
      </w:pPr>
      <w:r>
        <w:rPr>
          <w:szCs w:val="28"/>
        </w:rPr>
        <w:t xml:space="preserve">4</w:t>
      </w:r>
      <w:r>
        <w:t xml:space="preserve">. Решения об установлении, изменении или о прекращении существования санитарно-защитных зон принимает Федеральная служба по надзору в сфере защиты прав потребителей и бла</w:t>
      </w:r>
      <w:r>
        <w:t xml:space="preserve">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потребителей и благополучия человека</w:t>
      </w:r>
      <w:r>
        <w:br/>
        <w:t xml:space="preserve">определяет </w:t>
      </w:r>
      <w:r>
        <w:t xml:space="preserve">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 принимаются ее территориальными органами.</w:t>
      </w:r>
      <w:r/>
    </w:p>
    <w:p>
      <w:pPr>
        <w:pStyle w:val="1116"/>
      </w:pPr>
      <w:r>
        <w:t xml:space="preserve">5. В границах санитарно-защитной зоны не допускается использование земельных участков в целях:</w:t>
      </w:r>
      <w:r/>
    </w:p>
    <w:p>
      <w:pPr>
        <w:pStyle w:val="1116"/>
      </w:pPr>
      <w:r>
        <w:t xml:space="preserve"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  <w:r/>
    </w:p>
    <w:p>
      <w:pPr>
        <w:pStyle w:val="1116"/>
        <w:contextualSpacing/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размещения объектов для произ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  <w:r/>
    </w:p>
    <w:p>
      <w:pPr>
        <w:pStyle w:val="709"/>
        <w:contextualSpacing/>
        <w:rPr>
          <w:shd w:val="clear" w:color="auto" w:fill="auto"/>
        </w:rPr>
      </w:pPr>
      <w:r/>
      <w:bookmarkStart w:id="50" w:name="_Toc31"/>
      <w:r/>
      <w:bookmarkStart w:id="51" w:name="_Toc207982689"/>
      <w:r>
        <w:rPr>
          <w:rFonts w:cs="Times New Roman"/>
          <w:color w:val="000000"/>
          <w:shd w:val="clear" w:color="auto" w:fill="auto"/>
        </w:rPr>
        <w:t xml:space="preserve">Статья 15.2. Водоохранные зоны и прибрежные защитные полосы</w:t>
      </w:r>
      <w:bookmarkEnd w:id="50"/>
      <w:r/>
      <w:bookmarkEnd w:id="51"/>
      <w:r/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Водоохранными</w:t>
      </w:r>
      <w:r>
        <w:rPr>
          <w:color w:val="000000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</w:t>
      </w:r>
      <w:r>
        <w:rPr>
          <w:color w:val="000000"/>
          <w:szCs w:val="28"/>
        </w:rPr>
        <w:t xml:space="preserve">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r/>
    </w:p>
    <w:p>
      <w:pPr>
        <w:pStyle w:val="1116"/>
      </w:pPr>
      <w:r>
        <w:rPr>
          <w:color w:val="000000"/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  <w:r/>
    </w:p>
    <w:p>
      <w:pPr>
        <w:pStyle w:val="1116"/>
      </w:pPr>
      <w:r>
        <w:rPr>
          <w:color w:val="000000"/>
          <w:szCs w:val="28"/>
        </w:rPr>
        <w:t xml:space="preserve">3. В границах водоохранных зон запрещается: </w:t>
      </w:r>
      <w:r/>
    </w:p>
    <w:p>
      <w:pPr>
        <w:pStyle w:val="1116"/>
      </w:pPr>
      <w:r>
        <w:rPr>
          <w:color w:val="000000"/>
          <w:szCs w:val="28"/>
        </w:rPr>
        <w:t xml:space="preserve">1) использование сточных вод в целях повышения почвенного плодородия;</w:t>
      </w:r>
      <w:r/>
    </w:p>
    <w:p>
      <w:pPr>
        <w:pStyle w:val="1116"/>
      </w:pPr>
      <w:r>
        <w:rPr>
          <w:color w:val="000000"/>
          <w:szCs w:val="28"/>
        </w:rPr>
        <w:t xml:space="preserve">2) размещение кладбищ, скотом</w:t>
      </w:r>
      <w:r>
        <w:rPr>
          <w:color w:val="000000"/>
          <w:szCs w:val="28"/>
        </w:rPr>
        <w:t xml:space="preserve">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r>
        <w:rPr>
          <w:color w:val="000000"/>
          <w:szCs w:val="28"/>
        </w:rPr>
        <w:t xml:space="preserve">концентрации</w:t>
      </w:r>
      <w:r>
        <w:rPr>
          <w:color w:val="000000"/>
          <w:szCs w:val="28"/>
        </w:rPr>
        <w:t xml:space="preserve"> которых в водах водных объектов </w:t>
      </w:r>
      <w:r>
        <w:rPr>
          <w:color w:val="000000"/>
          <w:szCs w:val="28"/>
        </w:rPr>
        <w:t xml:space="preserve">рыбохозяйственного</w:t>
      </w:r>
      <w:r>
        <w:rPr>
          <w:color w:val="000000"/>
          <w:szCs w:val="28"/>
        </w:rPr>
        <w:t xml:space="preserve"> значения не установлены;</w:t>
      </w:r>
      <w:r/>
    </w:p>
    <w:p>
      <w:pPr>
        <w:pStyle w:val="1116"/>
      </w:pPr>
      <w:r>
        <w:rPr>
          <w:color w:val="000000"/>
          <w:szCs w:val="28"/>
        </w:rPr>
        <w:t xml:space="preserve">3) осуществление авиационных мер по борьбе с вредными организмами;</w:t>
      </w:r>
      <w:r/>
    </w:p>
    <w:p>
      <w:pPr>
        <w:pStyle w:val="1116"/>
      </w:pPr>
      <w:r>
        <w:rPr>
          <w:color w:val="000000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r/>
    </w:p>
    <w:p>
      <w:pPr>
        <w:pStyle w:val="1116"/>
      </w:pP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</w:t>
      </w:r>
      <w:r>
        <w:rPr>
          <w:color w:val="000000"/>
          <w:szCs w:val="28"/>
        </w:rPr>
        <w:t xml:space="preserve">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/>
    </w:p>
    <w:p>
      <w:pPr>
        <w:pStyle w:val="1116"/>
      </w:pPr>
      <w:r>
        <w:rPr>
          <w:color w:val="000000"/>
          <w:szCs w:val="28"/>
        </w:rPr>
        <w:t xml:space="preserve">6) хранение пестицидов и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(за исключением хранения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;</w:t>
      </w:r>
      <w:r/>
    </w:p>
    <w:p>
      <w:pPr>
        <w:pStyle w:val="1116"/>
      </w:pPr>
      <w:r>
        <w:rPr>
          <w:color w:val="000000"/>
          <w:szCs w:val="28"/>
        </w:rPr>
        <w:t xml:space="preserve">7) сброс сточных, в том числе дренажных, вод;</w:t>
      </w:r>
      <w:r/>
    </w:p>
    <w:p>
      <w:pPr>
        <w:pStyle w:val="1116"/>
      </w:pPr>
      <w:r>
        <w:rPr>
          <w:color w:val="000000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</w:t>
      </w:r>
      <w:r>
        <w:rPr>
          <w:color w:val="000000"/>
          <w:szCs w:val="28"/>
        </w:rPr>
        <w:t xml:space="preserve">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</w:t>
      </w:r>
      <w:r>
        <w:rPr>
          <w:strike/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технического проекта в соответствии со статьей 19.1 Закона Российской Федерации от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21.02.1992 № 2395-1 «О недрах»).</w:t>
      </w:r>
      <w:r/>
    </w:p>
    <w:p>
      <w:pPr>
        <w:pStyle w:val="1116"/>
      </w:pPr>
      <w:r>
        <w:rPr>
          <w:color w:val="000000"/>
          <w:szCs w:val="28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</w:t>
      </w:r>
      <w:r>
        <w:rPr>
          <w:color w:val="000000"/>
          <w:szCs w:val="28"/>
        </w:rPr>
        <w:t xml:space="preserve">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  <w:r/>
    </w:p>
    <w:p>
      <w:pPr>
        <w:pStyle w:val="1116"/>
      </w:pPr>
      <w:r>
        <w:rPr>
          <w:color w:val="000000"/>
          <w:szCs w:val="28"/>
        </w:rPr>
        <w:t xml:space="preserve">5. </w:t>
      </w:r>
      <w:r>
        <w:rPr>
          <w:color w:val="000000"/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</w:t>
      </w:r>
      <w:r>
        <w:rPr>
          <w:color w:val="000000"/>
          <w:szCs w:val="28"/>
        </w:rPr>
        <w:t xml:space="preserve">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r>
        <w:rPr>
          <w:color w:val="000000"/>
          <w:szCs w:val="28"/>
        </w:rPr>
        <w:t xml:space="preserve"> и микроорганизмов в окружающую среду. </w:t>
      </w:r>
      <w:r/>
    </w:p>
    <w:p>
      <w:pPr>
        <w:pStyle w:val="1116"/>
      </w:pPr>
      <w:r>
        <w:rPr>
          <w:color w:val="000000"/>
          <w:szCs w:val="28"/>
        </w:rPr>
        <w:t xml:space="preserve">6. </w:t>
      </w:r>
      <w:r>
        <w:rPr>
          <w:color w:val="000000"/>
          <w:szCs w:val="28"/>
        </w:rPr>
        <w:t xml:space="preserve">На территориях, расп</w:t>
      </w:r>
      <w:r>
        <w:rPr>
          <w:color w:val="000000"/>
          <w:szCs w:val="28"/>
        </w:rPr>
        <w:t xml:space="preserve">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</w:t>
      </w:r>
      <w:r>
        <w:rPr>
          <w:strike/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законодательством правовым режимом защитных лесов, правовым режимом особо защитных участков лесов. </w:t>
      </w:r>
      <w:r/>
    </w:p>
    <w:p>
      <w:pPr>
        <w:pStyle w:val="1116"/>
      </w:pPr>
      <w:r>
        <w:rPr>
          <w:color w:val="000000"/>
          <w:szCs w:val="28"/>
        </w:rPr>
        <w:t xml:space="preserve">7. Строительство, реконструкция и эксплуатация специализированных хранилищ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  <w:r/>
    </w:p>
    <w:p>
      <w:pPr>
        <w:pStyle w:val="1116"/>
      </w:pPr>
      <w:r>
        <w:rPr>
          <w:color w:val="000000"/>
          <w:szCs w:val="28"/>
        </w:rPr>
        <w:t xml:space="preserve">8.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  <w:r/>
    </w:p>
    <w:p>
      <w:pPr>
        <w:pStyle w:val="1116"/>
      </w:pPr>
      <w:r>
        <w:rPr>
          <w:color w:val="000000"/>
          <w:szCs w:val="28"/>
        </w:rPr>
        <w:t xml:space="preserve">1) распашка земель;</w:t>
      </w:r>
      <w:r/>
    </w:p>
    <w:p>
      <w:pPr>
        <w:pStyle w:val="1116"/>
      </w:pPr>
      <w:r>
        <w:rPr>
          <w:color w:val="000000"/>
          <w:szCs w:val="28"/>
        </w:rPr>
        <w:t xml:space="preserve">2) размещение отвалов размываемых грунтов;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3) выпас сельскохозяйственных животных и организация для них летних лагерей, ванн.</w:t>
      </w:r>
      <w:r/>
    </w:p>
    <w:p>
      <w:pPr>
        <w:pStyle w:val="1116"/>
      </w:pPr>
      <w:r/>
      <w:r/>
    </w:p>
    <w:p>
      <w:pPr>
        <w:pStyle w:val="709"/>
        <w:contextualSpacing/>
      </w:pPr>
      <w:r/>
      <w:bookmarkStart w:id="52" w:name="_Toc32"/>
      <w:r/>
      <w:bookmarkStart w:id="53" w:name="_Toc207982690"/>
      <w:r>
        <w:rPr>
          <w:rFonts w:cs="Times New Roman"/>
          <w:color w:val="000000"/>
          <w:shd w:val="clear" w:color="auto" w:fill="auto"/>
        </w:rPr>
        <w:t xml:space="preserve">Статья 15.3. Охранные зоны инженерных коммуникаций</w:t>
      </w:r>
      <w:bookmarkEnd w:id="52"/>
      <w:r/>
      <w:bookmarkEnd w:id="53"/>
      <w:r/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rPr>
          <w:rFonts w:cs="Times New Roman"/>
          <w:iCs/>
          <w:color w:val="000000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2. Охранные зоны газораспределительных сетей. </w:t>
      </w:r>
      <w:r>
        <w:rPr>
          <w:rFonts w:cs="Times New Roman"/>
          <w:color w:val="000000"/>
          <w:szCs w:val="28"/>
        </w:rPr>
        <w:t xml:space="preserve">Порядок определения границ охранных зон газораспределительных сетей, условия использования земельных участков, расположенных в их пределах, ограничения хозяйственной деятельности, которая может привести к пов</w:t>
      </w:r>
      <w:r>
        <w:rPr>
          <w:rFonts w:cs="Times New Roman"/>
          <w:color w:val="000000"/>
          <w:szCs w:val="28"/>
        </w:rPr>
        <w:t xml:space="preserve">реждению газораспределительных сетей,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</w:t>
      </w:r>
      <w:r>
        <w:rPr>
          <w:rFonts w:cs="Times New Roman"/>
          <w:color w:val="000000"/>
          <w:szCs w:val="28"/>
        </w:rPr>
        <w:t xml:space="preserve">ликвидации их последствий устанавливаются постановлением Правительства</w:t>
      </w:r>
      <w:r>
        <w:rPr>
          <w:rFonts w:cs="Times New Roman"/>
          <w:color w:val="000000"/>
          <w:szCs w:val="28"/>
          <w:highlight w:val="yellow"/>
          <w:u w:val="single"/>
        </w:rPr>
        <w:t xml:space="preserve"> </w:t>
      </w:r>
      <w:r>
        <w:rPr>
          <w:rFonts w:cs="Times New Roman"/>
          <w:color w:val="000000"/>
          <w:szCs w:val="28"/>
        </w:rPr>
        <w:t xml:space="preserve">Российской Федерации от 20.11.2000 № 878</w:t>
      </w:r>
      <w:r>
        <w:rPr>
          <w:rFonts w:cs="Times New Roman"/>
          <w:color w:val="000000"/>
          <w:szCs w:val="28"/>
        </w:rPr>
        <w:t xml:space="preserve"> «Об утверждении правил охраны газораспределительных сетей». </w:t>
      </w:r>
      <w:r/>
    </w:p>
    <w:p>
      <w:pPr>
        <w:pStyle w:val="1116"/>
      </w:pPr>
      <w:r>
        <w:rPr>
          <w:color w:val="000000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  <w:r/>
    </w:p>
    <w:p>
      <w:pPr>
        <w:pStyle w:val="1116"/>
      </w:pPr>
      <w:r>
        <w:rPr>
          <w:color w:val="000000"/>
        </w:rPr>
        <w:t xml:space="preserve">а) строить объекты жилищно-гражданского и производственного назначения;</w:t>
      </w:r>
      <w:r/>
    </w:p>
    <w:p>
      <w:pPr>
        <w:pStyle w:val="1116"/>
      </w:pPr>
      <w:r>
        <w:rPr>
          <w:color w:val="000000"/>
        </w:rPr>
        <w:t xml:space="preserve"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r/>
    </w:p>
    <w:p>
      <w:pPr>
        <w:pStyle w:val="1116"/>
      </w:pPr>
      <w:r>
        <w:rPr>
          <w:color w:val="000000"/>
        </w:rPr>
        <w:t xml:space="preserve"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  <w:r/>
    </w:p>
    <w:p>
      <w:pPr>
        <w:pStyle w:val="1116"/>
      </w:pPr>
      <w:r>
        <w:rPr>
          <w:color w:val="000000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r/>
    </w:p>
    <w:p>
      <w:pPr>
        <w:pStyle w:val="1116"/>
      </w:pPr>
      <w:r>
        <w:rPr>
          <w:color w:val="000000"/>
        </w:rPr>
        <w:t xml:space="preserve">д) устраивать свалки и склады, разливать растворы кислот, солей, щелочей и других химически активных веществ;</w:t>
      </w:r>
      <w:r/>
    </w:p>
    <w:p>
      <w:pPr>
        <w:pStyle w:val="1116"/>
      </w:pPr>
      <w:r>
        <w:rPr>
          <w:color w:val="000000"/>
        </w:rPr>
        <w:t xml:space="preserve"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  <w:r/>
    </w:p>
    <w:p>
      <w:pPr>
        <w:pStyle w:val="1116"/>
      </w:pPr>
      <w:r>
        <w:rPr>
          <w:color w:val="000000"/>
        </w:rPr>
        <w:t xml:space="preserve">ж) разводить огонь и размещать источники огня;</w:t>
      </w:r>
      <w:r/>
    </w:p>
    <w:p>
      <w:pPr>
        <w:pStyle w:val="1116"/>
      </w:pPr>
      <w:r>
        <w:rPr>
          <w:color w:val="000000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метра;</w:t>
      </w:r>
      <w:r/>
    </w:p>
    <w:p>
      <w:pPr>
        <w:pStyle w:val="1116"/>
      </w:pPr>
      <w:r>
        <w:rPr>
          <w:color w:val="000000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r>
        <w:rPr>
          <w:color w:val="000000"/>
        </w:rPr>
        <w:t xml:space="preserve">дств св</w:t>
      </w:r>
      <w:r>
        <w:rPr>
          <w:color w:val="000000"/>
        </w:rPr>
        <w:t xml:space="preserve">язи, освещения и систем телемеханики;</w:t>
      </w:r>
      <w:r/>
    </w:p>
    <w:p>
      <w:pPr>
        <w:pStyle w:val="1116"/>
      </w:pPr>
      <w:r>
        <w:rPr>
          <w:color w:val="000000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  <w:r/>
    </w:p>
    <w:p>
      <w:pPr>
        <w:pStyle w:val="1116"/>
      </w:pPr>
      <w:r>
        <w:rPr>
          <w:color w:val="000000"/>
        </w:rPr>
        <w:t xml:space="preserve">л) самовольно подключаться к газораспределительным сетям.</w:t>
      </w:r>
      <w:r/>
    </w:p>
    <w:p>
      <w:pPr>
        <w:pStyle w:val="1116"/>
        <w:tabs>
          <w:tab w:val="left" w:pos="894" w:leader="none"/>
        </w:tabs>
      </w:pPr>
      <w:r>
        <w:rPr>
          <w:rFonts w:cs="Times New Roman"/>
          <w:color w:val="000000"/>
          <w:szCs w:val="28"/>
        </w:rPr>
        <w:t xml:space="preserve">3. Охранные зоны объектов электросетевого хозяйства. </w:t>
      </w:r>
      <w:r>
        <w:rPr>
          <w:rFonts w:cs="Times New Roman"/>
          <w:color w:val="000000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</w:t>
      </w:r>
      <w:r>
        <w:rPr>
          <w:rFonts w:cs="Times New Roman"/>
          <w:color w:val="000000"/>
          <w:szCs w:val="28"/>
        </w:rPr>
        <w:t xml:space="preserve"> объектов устанавливаются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</w:t>
      </w:r>
      <w:r>
        <w:rPr>
          <w:color w:val="000000"/>
        </w:rPr>
        <w:t xml:space="preserve">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</w:t>
      </w:r>
      <w:r>
        <w:rPr>
          <w:color w:val="000000"/>
        </w:rPr>
        <w:t xml:space="preserve">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r>
        <w:rPr>
          <w:color w:val="000000"/>
        </w:rPr>
        <w:t xml:space="preserve"> устранению их последствий на всем протяжении границы объекта электроэнергетики;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</w:t>
      </w:r>
      <w:r>
        <w:rPr>
          <w:color w:val="000000"/>
        </w:rPr>
        <w:t xml:space="preserve">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color w:val="000000"/>
        </w:rPr>
        <w:t xml:space="preserve"> линий электропередачи;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г) размещать свалки;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ab/>
        <w:t xml:space="preserve">В охранных зонах, установленных для объектов электросетевого хозяйства напряжением свыше 1000 вольт, дополнительно  запрещается: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а) складировать или размещать хранилища любых, в том числе горюче-смазочных, материалов;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</w:t>
      </w:r>
      <w:r>
        <w:rPr>
          <w:color w:val="000000"/>
        </w:rPr>
        <w:t xml:space="preserve">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д) осуществлять проход судов с поднятыми стрелами кранов и других механизмов (в охранных зонах воздушных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r>
        <w:rPr>
          <w:color w:val="000000"/>
        </w:rPr>
        <w:t xml:space="preserve">кВ</w:t>
      </w:r>
      <w:r>
        <w:rPr>
          <w:color w:val="000000"/>
        </w:rPr>
        <w:t xml:space="preserve"> и выше (исключительно в охранных зонах воздушных линий электропередачи);</w:t>
      </w:r>
      <w:r/>
    </w:p>
    <w:p>
      <w:pPr>
        <w:pStyle w:val="1116"/>
        <w:tabs>
          <w:tab w:val="left" w:pos="894" w:leader="none"/>
        </w:tabs>
      </w:pPr>
      <w:r>
        <w:rPr>
          <w:color w:val="000000"/>
        </w:rPr>
        <w:t xml:space="preserve">ж) устанавливать рекламные конструкции.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4. Охранные </w:t>
      </w:r>
      <w:hyperlink r:id="rId19" w:tooltip="https://login.consultant.ru/link/?req=doc&amp;base=LAW&amp;n=6884&amp;dst=100015" w:history="1">
        <w:r>
          <w:rPr>
            <w:rFonts w:cs="Times New Roman"/>
            <w:color w:val="000000"/>
            <w:szCs w:val="28"/>
          </w:rPr>
          <w:t xml:space="preserve">зоны</w:t>
        </w:r>
      </w:hyperlink>
      <w:r>
        <w:rPr>
          <w:rFonts w:cs="Times New Roman"/>
          <w:color w:val="000000"/>
          <w:szCs w:val="28"/>
        </w:rPr>
        <w:t xml:space="preserve"> линий и сооружений связи. Правила охраны линий и сооружений связи Российской Федерации для обеспечения </w:t>
      </w:r>
      <w:r>
        <w:rPr>
          <w:rFonts w:cs="Times New Roman"/>
          <w:color w:val="000000"/>
          <w:szCs w:val="28"/>
        </w:rPr>
        <w:t xml:space="preserve">сохранности</w:t>
      </w:r>
      <w:r>
        <w:rPr>
          <w:rFonts w:cs="Times New Roman"/>
          <w:color w:val="000000"/>
          <w:szCs w:val="28"/>
        </w:rPr>
        <w:t xml:space="preserve"> д</w:t>
      </w:r>
      <w:r>
        <w:rPr>
          <w:rFonts w:cs="Times New Roman"/>
          <w:color w:val="000000"/>
          <w:szCs w:val="28"/>
        </w:rPr>
        <w:t xml:space="preserve">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</w:t>
      </w:r>
      <w:r>
        <w:rPr>
          <w:rFonts w:cs="Times New Roman"/>
          <w:color w:val="000000"/>
          <w:szCs w:val="28"/>
        </w:rPr>
        <w:t xml:space="preserve">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  <w:r/>
    </w:p>
    <w:p>
      <w:pPr>
        <w:pStyle w:val="1116"/>
      </w:pPr>
      <w:r>
        <w:rPr>
          <w:color w:val="000000"/>
        </w:rPr>
        <w:t xml:space="preserve"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  <w:r/>
    </w:p>
    <w:p>
      <w:pPr>
        <w:pStyle w:val="1116"/>
      </w:pPr>
      <w:r>
        <w:rPr>
          <w:color w:val="000000"/>
        </w:rPr>
        <w:t xml:space="preserve"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  <w:r/>
    </w:p>
    <w:p>
      <w:pPr>
        <w:pStyle w:val="1116"/>
      </w:pPr>
      <w:r>
        <w:rPr>
          <w:color w:val="000000"/>
        </w:rP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r>
        <w:rPr>
          <w:color w:val="000000"/>
        </w:rPr>
        <w:t xml:space="preserve">шурфованием</w:t>
      </w:r>
      <w:r>
        <w:rPr>
          <w:color w:val="000000"/>
        </w:rPr>
        <w:t xml:space="preserve">, взятием проб грунта, осуществлением взрывных работ;</w:t>
      </w:r>
      <w:r/>
    </w:p>
    <w:p>
      <w:pPr>
        <w:pStyle w:val="1116"/>
      </w:pPr>
      <w:r>
        <w:rPr>
          <w:color w:val="000000"/>
        </w:rPr>
        <w:t xml:space="preserve"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  <w:r/>
    </w:p>
    <w:p>
      <w:pPr>
        <w:pStyle w:val="1116"/>
      </w:pPr>
      <w:r>
        <w:rPr>
          <w:color w:val="000000"/>
        </w:rPr>
        <w:t xml:space="preserve">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  <w:r/>
    </w:p>
    <w:p>
      <w:pPr>
        <w:pStyle w:val="1116"/>
      </w:pPr>
      <w:r>
        <w:rPr>
          <w:color w:val="000000"/>
        </w:rPr>
        <w:t xml:space="preserve">д) устраивать причалы для стоянки судов, барж и плавучих кранов, производить погрузочно-разгрузочные, подводно-технические, дноуглубительные </w:t>
      </w:r>
      <w:r>
        <w:rPr>
          <w:color w:val="000000"/>
        </w:rPr>
        <w:t xml:space="preserve">и землечерпательные работы, выделять рыбопромысловые участки, производить добычу рыбы, дру</w:t>
      </w:r>
      <w:r>
        <w:rPr>
          <w:color w:val="000000"/>
        </w:rPr>
        <w:t xml:space="preserve">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  <w:r/>
    </w:p>
    <w:p>
      <w:pPr>
        <w:pStyle w:val="1116"/>
      </w:pPr>
      <w:r>
        <w:rPr>
          <w:color w:val="000000"/>
        </w:rPr>
        <w:t xml:space="preserve"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  <w:r/>
    </w:p>
    <w:p>
      <w:pPr>
        <w:pStyle w:val="1116"/>
      </w:pPr>
      <w:r>
        <w:rPr>
          <w:color w:val="000000"/>
        </w:rPr>
        <w:t xml:space="preserve">ж) производить защиту подземных коммуникаций от коррозии без учета проходящих подземных кабельных линий связи.</w:t>
      </w:r>
      <w:r/>
    </w:p>
    <w:p>
      <w:pPr>
        <w:pStyle w:val="1116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Cs w:val="28"/>
        </w:rPr>
        <w:t xml:space="preserve">5. Охранные зоны магистральных газопроводов. </w:t>
      </w:r>
      <w:r>
        <w:rPr>
          <w:rFonts w:cs="Times New Roman"/>
          <w:color w:val="000000"/>
          <w:szCs w:val="28"/>
        </w:rPr>
        <w:t xml:space="preserve">Правила охраны магистральных газопроводов устанавливаются постановление</w:t>
      </w:r>
      <w:r>
        <w:rPr>
          <w:rFonts w:cs="Times New Roman"/>
          <w:color w:val="000000"/>
          <w:szCs w:val="28"/>
        </w:rPr>
        <w:t xml:space="preserve">м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</w:t>
      </w:r>
      <w:r>
        <w:rPr>
          <w:rFonts w:cs="Times New Roman"/>
          <w:color w:val="000000"/>
          <w:szCs w:val="28"/>
        </w:rPr>
        <w:t xml:space="preserve"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r>
        <w:rPr>
          <w:rFonts w:cs="Times New Roman"/>
          <w:color w:val="000000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В охранных зонах магистральных газопроводов запрещается: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2) открывать двери и люки необслуживаемых усилительных пунктов на кабельных линиях связи, калитки огр</w:t>
      </w:r>
      <w:r>
        <w:rPr>
          <w:rFonts w:cs="Times New Roman"/>
          <w:color w:val="000000"/>
          <w:szCs w:val="28"/>
        </w:rPr>
        <w:t xml:space="preserve">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4) складировать любые материалы, в том числе горюче-смазочные, или размещать хранилища любых материалов;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r>
        <w:rPr>
          <w:rFonts w:cs="Times New Roman"/>
          <w:color w:val="000000"/>
          <w:szCs w:val="28"/>
        </w:rPr>
        <w:t xml:space="preserve">с</w:t>
      </w:r>
      <w:r>
        <w:rPr>
          <w:rFonts w:cs="Times New Roman"/>
          <w:color w:val="000000"/>
          <w:szCs w:val="28"/>
        </w:rPr>
        <w:t xml:space="preserve"> вытравленной якорь-цепью;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8) проводить работы с использованием ударно-импульсных устройств и вспомогательных механизмов, сбрасывать грузы;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9) осуществлять рекреационную деятельность, кроме деятельности, предусмотренной подпунктом «ж» пункта 6 постановления Правительства РФ от 08.09.2017 № 1083, разводить костры и размещать источники огня;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10) огораживать и перегораживать охранные зоны;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11) осуществлять несанкционированное подключение (присоединение) к магистральному газопроводу;</w:t>
      </w:r>
      <w:r/>
    </w:p>
    <w:p>
      <w:pPr>
        <w:pStyle w:val="1116"/>
        <w:jc w:val="left"/>
      </w:pPr>
      <w:r>
        <w:rPr>
          <w:rFonts w:cs="Times New Roman"/>
          <w:color w:val="000000"/>
          <w:szCs w:val="28"/>
        </w:rPr>
        <w:t xml:space="preserve">12)  размещать какие-либо здания, строения, сооружения, не относящиеся </w:t>
      </w:r>
      <w:r>
        <w:rPr>
          <w:rFonts w:cs="Times New Roman"/>
          <w:color w:val="000000"/>
          <w:szCs w:val="28"/>
        </w:rPr>
        <w:t xml:space="preserve">к</w:t>
      </w:r>
      <w:r>
        <w:rPr>
          <w:rFonts w:cs="Times New Roman"/>
          <w:color w:val="000000"/>
          <w:szCs w:val="28"/>
        </w:rPr>
        <w:t xml:space="preserve">: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а) линейной части магистрального газопровода;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б) компрессорным станциям;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в) </w:t>
      </w:r>
      <w:r>
        <w:rPr>
          <w:rFonts w:cs="Times New Roman"/>
          <w:color w:val="000000"/>
          <w:szCs w:val="28"/>
        </w:rPr>
        <w:t xml:space="preserve">газоизмерительным</w:t>
      </w:r>
      <w:r>
        <w:rPr>
          <w:rFonts w:cs="Times New Roman"/>
          <w:color w:val="000000"/>
          <w:szCs w:val="28"/>
        </w:rPr>
        <w:t xml:space="preserve"> станциям;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г) газораспределительным станциям, узлам и пунктам редуцирования газа;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д) станциям охлаждения газа;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- сооружения запруд на реках и ручьях;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- размещения туристских стоянок;</w:t>
      </w:r>
      <w:r/>
    </w:p>
    <w:p>
      <w:pPr>
        <w:pStyle w:val="1116"/>
        <w:ind w:left="709" w:firstLine="0"/>
      </w:pPr>
      <w:r>
        <w:rPr>
          <w:rFonts w:cs="Times New Roman"/>
          <w:color w:val="000000"/>
          <w:szCs w:val="28"/>
        </w:rPr>
        <w:t xml:space="preserve">- размещения гаражей, стоянок и парковок транспортных средств; </w:t>
      </w:r>
      <w:r/>
    </w:p>
    <w:p>
      <w:pPr>
        <w:pStyle w:val="1116"/>
        <w:ind w:left="709" w:firstLine="0"/>
      </w:pPr>
      <w:r>
        <w:rPr>
          <w:rFonts w:cs="Times New Roman"/>
          <w:color w:val="000000"/>
          <w:szCs w:val="28"/>
        </w:rPr>
        <w:t xml:space="preserve">- сооружения переездов через магистральные газопроводы; </w:t>
      </w:r>
      <w:r/>
    </w:p>
    <w:p>
      <w:pPr>
        <w:pStyle w:val="1116"/>
        <w:ind w:left="709" w:firstLine="0"/>
      </w:pPr>
      <w:r>
        <w:rPr>
          <w:rFonts w:cs="Times New Roman"/>
          <w:color w:val="000000"/>
          <w:szCs w:val="28"/>
        </w:rPr>
        <w:t xml:space="preserve">- прокладки инженерных коммуникаций; </w:t>
      </w:r>
      <w:r/>
    </w:p>
    <w:p>
      <w:pPr>
        <w:pStyle w:val="1116"/>
        <w:ind w:left="709" w:firstLine="0"/>
      </w:pPr>
      <w:r>
        <w:rPr>
          <w:rFonts w:cs="Times New Roman"/>
          <w:color w:val="000000"/>
          <w:szCs w:val="28"/>
        </w:rPr>
        <w:t xml:space="preserve">- устройства причалов для судов и пляжей.</w:t>
      </w:r>
      <w:r/>
    </w:p>
    <w:p>
      <w:pPr>
        <w:pStyle w:val="1116"/>
      </w:pPr>
      <w:r/>
      <w:r/>
    </w:p>
    <w:p>
      <w:pPr>
        <w:pStyle w:val="709"/>
        <w:contextualSpacing/>
      </w:pPr>
      <w:r/>
      <w:bookmarkStart w:id="54" w:name="_Toc207982691"/>
      <w:r>
        <w:rPr>
          <w:rFonts w:cs="Times New Roman"/>
          <w:color w:val="000000"/>
          <w:shd w:val="clear" w:color="auto" w:fill="auto"/>
        </w:rPr>
        <w:t xml:space="preserve">Статья 15.4. Зона минимальных расстояний до магистральных или промышленных трубопроводов</w:t>
      </w:r>
      <w:bookmarkEnd w:id="54"/>
      <w:r>
        <w:rPr>
          <w:rFonts w:cs="Times New Roman"/>
          <w:color w:val="000000"/>
          <w:shd w:val="clear" w:color="auto" w:fill="auto"/>
        </w:rPr>
        <w:t xml:space="preserve"> </w:t>
      </w:r>
      <w:r/>
    </w:p>
    <w:p>
      <w:pPr>
        <w:pStyle w:val="1116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1. 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2. В зоне минимальных расстояний до магистральных или технологических трубопроводов запрещается размещать: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жилые здания; 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 отдельно стоящие здания с массовым скоплением людей (школы, больницы, клубы, детские сады и ясли, вокзалы и т.д.);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железнодорожные станции</w:t>
      </w:r>
      <w:r>
        <w:rPr>
          <w:szCs w:val="28"/>
        </w:rPr>
        <w:t xml:space="preserve">;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аэропорты; морские и речные порты и пристани;</w:t>
      </w:r>
      <w:r/>
    </w:p>
    <w:p>
      <w:pPr>
        <w:pStyle w:val="1116"/>
      </w:pPr>
      <w:r>
        <w:rPr>
          <w:rFonts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коллективные сады с садовыми домиками, дачные поселки;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 отдельные промышленные и сельскохозяйственные предприятия; 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тепличные комбинаты и хозяйства; 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 птицефабрики;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молокозаводы;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карьеры разработки полезных ископаемых; 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гаражи и открытые стоянки;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гидроэлектростанции;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 гидротехнические сооружения морского и речного транспорта;</w:t>
      </w:r>
      <w:r/>
    </w:p>
    <w:p>
      <w:pPr>
        <w:pStyle w:val="1116"/>
      </w:pPr>
      <w:r>
        <w:t xml:space="preserve">-</w:t>
      </w:r>
      <w:r>
        <w:rPr>
          <w:rFonts w:eastAsia="Times New Roman" w:cs="Times New Roman"/>
          <w:szCs w:val="28"/>
        </w:rPr>
        <w:t xml:space="preserve"> очистные сооружения и насосные станции водопроводные,</w:t>
      </w:r>
      <w:r>
        <w:rPr>
          <w:rFonts w:eastAsia="Times New Roman" w:cs="Times New Roman"/>
          <w:szCs w:val="28"/>
        </w:rPr>
        <w:br/>
        <w:t xml:space="preserve">не относящиеся к магистральному трубопроводу,</w:t>
      </w:r>
      <w:r/>
    </w:p>
    <w:p>
      <w:pPr>
        <w:pStyle w:val="1116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 склады легковоспламеняющихся и горючих жидкостей и газов с объемом хранения свыше 1000 куб. м;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 автозаправочные станции;</w:t>
      </w:r>
      <w:r/>
    </w:p>
    <w:p>
      <w:pPr>
        <w:pStyle w:val="1116"/>
      </w:pPr>
      <w:r>
        <w:rPr>
          <w:rFonts w:eastAsia="Times New Roman" w:cs="Times New Roman"/>
          <w:szCs w:val="28"/>
        </w:rPr>
        <w:t xml:space="preserve">- мачты (башни), телевизионные башни и сооружения линий связи операторов связи – владельцев сетей</w:t>
      </w:r>
      <w:r>
        <w:t xml:space="preserve">;</w:t>
      </w:r>
      <w:r/>
    </w:p>
    <w:p>
      <w:pPr>
        <w:pStyle w:val="1116"/>
      </w:pPr>
      <w:r>
        <w:t xml:space="preserve">-</w:t>
      </w:r>
      <w:r>
        <w:rPr>
          <w:rFonts w:eastAsia="Times New Roman" w:cs="Times New Roman"/>
          <w:szCs w:val="28"/>
        </w:rPr>
        <w:t xml:space="preserve"> кладбища</w:t>
      </w:r>
      <w:r>
        <w:rPr>
          <w:szCs w:val="28"/>
        </w:rPr>
        <w:t xml:space="preserve">;</w:t>
      </w:r>
      <w:r/>
    </w:p>
    <w:p>
      <w:pPr>
        <w:pStyle w:val="1116"/>
        <w:rPr>
          <w:rFonts w:eastAsia="Times New Roman" w:cs="Times New Roman"/>
        </w:rPr>
      </w:pPr>
      <w:r>
        <w:rPr>
          <w:rFonts w:eastAsia="Times New Roman" w:cs="Times New Roman"/>
          <w:iCs/>
          <w:color w:val="000000"/>
          <w:spacing w:val="4"/>
          <w:szCs w:val="28"/>
        </w:rPr>
        <w:t xml:space="preserve">-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 сельскохозяйственные фермы и огороженные участки для организованного выпаса скота.</w:t>
      </w:r>
      <w:r/>
    </w:p>
    <w:p>
      <w:pPr>
        <w:pStyle w:val="1116"/>
        <w:contextualSpacing/>
        <w:ind w:firstLine="567"/>
      </w:pPr>
      <w:r/>
      <w:r/>
    </w:p>
    <w:p>
      <w:pPr>
        <w:pStyle w:val="709"/>
        <w:contextualSpacing/>
      </w:pPr>
      <w:r/>
      <w:bookmarkStart w:id="55" w:name="_Toc38"/>
      <w:r/>
      <w:bookmarkStart w:id="56" w:name="_Toc207982692"/>
      <w:r>
        <w:rPr>
          <w:rFonts w:cs="Times New Roman"/>
          <w:color w:val="000000"/>
          <w:shd w:val="clear" w:color="auto" w:fill="auto"/>
        </w:rPr>
        <w:t xml:space="preserve">Статья 16. Объекты культурного наследия</w:t>
      </w:r>
      <w:bookmarkEnd w:id="55"/>
      <w:r/>
      <w:bookmarkEnd w:id="56"/>
      <w:r/>
      <w:r/>
    </w:p>
    <w:p>
      <w:pPr>
        <w:ind w:firstLine="737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116"/>
      </w:pPr>
      <w:r>
        <w:rPr>
          <w:color w:val="000000"/>
        </w:rPr>
        <w:t xml:space="preserve">1. </w:t>
      </w:r>
      <w:r>
        <w:rPr>
          <w:rFonts w:cs="Times New Roman"/>
          <w:color w:val="000000"/>
          <w:szCs w:val="28"/>
        </w:rPr>
        <w:t xml:space="preserve">На территории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муниципального округа Рязанской области применительно к территории </w:t>
      </w:r>
      <w:r>
        <w:rPr>
          <w:rFonts w:cs="Times New Roman"/>
          <w:color w:val="000000"/>
          <w:spacing w:val="5"/>
          <w:szCs w:val="32"/>
        </w:rPr>
        <w:t xml:space="preserve">Торбаевского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</w:t>
      </w:r>
      <w:r>
        <w:rPr>
          <w:color w:val="000000"/>
        </w:rPr>
        <w:t xml:space="preserve"> отсутствуют исторические поселения федерального значения и исторические поселения регионального значения.</w:t>
      </w:r>
      <w:r/>
    </w:p>
    <w:p>
      <w:pPr>
        <w:pStyle w:val="1116"/>
      </w:pPr>
      <w:r>
        <w:rPr>
          <w:color w:val="000000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</w:t>
      </w:r>
      <w:r>
        <w:rPr>
          <w:rFonts w:cs="Times New Roman"/>
          <w:color w:val="000000"/>
          <w:spacing w:val="5"/>
          <w:szCs w:val="32"/>
        </w:rPr>
        <w:t xml:space="preserve">Торбаевск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 xml:space="preserve">ого</w:t>
      </w:r>
      <w:r>
        <w:rPr>
          <w:color w:val="000000"/>
        </w:rPr>
        <w:t xml:space="preserve"> сельского округа  </w:t>
      </w:r>
      <w:r>
        <w:rPr>
          <w:color w:val="000000"/>
          <w:shd w:val="clear" w:color="auto" w:fill="ffffff"/>
        </w:rPr>
        <w:t xml:space="preserve">находятся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  <w:t xml:space="preserve"> 2 выявленных объекта культурного наследия (памятник архитектуры) указанные в таблицах 16.1.</w:t>
      </w:r>
      <w:r/>
    </w:p>
    <w:p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Таблица 17.1. Перечень </w:t>
      </w:r>
      <w:r>
        <w:rPr>
          <w:color w:val="000000"/>
          <w:sz w:val="28"/>
          <w:szCs w:val="28"/>
          <w:shd w:val="clear" w:color="auto" w:fill="ffffff"/>
        </w:rPr>
        <w:t xml:space="preserve">выявленны</w:t>
      </w:r>
      <w:r>
        <w:rPr>
          <w:color w:val="000000"/>
          <w:sz w:val="28"/>
          <w:shd w:val="clear" w:color="auto" w:fill="ffffff"/>
        </w:rPr>
        <w:t xml:space="preserve">х</w:t>
      </w:r>
      <w:r>
        <w:rPr>
          <w:color w:val="000000"/>
          <w:sz w:val="28"/>
          <w:szCs w:val="28"/>
          <w:shd w:val="clear" w:color="auto" w:fill="ffffff"/>
        </w:rPr>
        <w:t xml:space="preserve"> объекта культурного наследия (памятник архитектуры)</w:t>
      </w:r>
      <w:r/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3002"/>
        <w:gridCol w:w="3003"/>
        <w:gridCol w:w="3296"/>
      </w:tblGrid>
      <w:tr>
        <w:trPr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contextualSpacing/>
              <w:ind w:left="-110" w:right="-97"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Реквизиты и наименование нормативного акта</w:t>
            </w:r>
            <w:r/>
          </w:p>
        </w:tc>
      </w:tr>
      <w:tr>
        <w:trPr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Align w:val="center"/>
            <w:textDirection w:val="lrTb"/>
            <w:noWrap w:val="false"/>
          </w:tcPr>
          <w:p>
            <w:pPr>
              <w:pStyle w:val="1148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Мечеть,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center"/>
            <w:textDirection w:val="lrTb"/>
            <w:noWrap w:val="false"/>
          </w:tcPr>
          <w:p>
            <w:pPr>
              <w:pStyle w:val="1148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Подлипки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pStyle w:val="114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Приказ комитета по культуре и туризму Рязанской области от 14.04.2011 № 269</w:t>
            </w:r>
            <w:r/>
          </w:p>
        </w:tc>
      </w:tr>
      <w:tr>
        <w:trPr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1136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Align w:val="center"/>
            <w:textDirection w:val="lrTb"/>
            <w:noWrap w:val="false"/>
          </w:tcPr>
          <w:p>
            <w:pPr>
              <w:pStyle w:val="1136"/>
              <w:jc w:val="center"/>
              <w:widowControl w:val="o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Татарская лавка,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XVIII </w:t>
            </w:r>
            <w:r>
              <w:rPr>
                <w:shd w:val="clear" w:color="auto" w:fill="ffffff"/>
              </w:rPr>
              <w:t xml:space="preserve">в.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center"/>
            <w:textDirection w:val="lrTb"/>
            <w:noWrap w:val="false"/>
          </w:tcPr>
          <w:p>
            <w:pPr>
              <w:pStyle w:val="1148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Подлипки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pStyle w:val="114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*-*</w:t>
            </w:r>
            <w:r/>
          </w:p>
        </w:tc>
      </w:tr>
    </w:tbl>
    <w:p>
      <w:pPr>
        <w:pStyle w:val="1151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Границы территории указанных выявленных объектов не утверждены.</w:t>
      </w:r>
      <w:r/>
    </w:p>
    <w:p>
      <w:pPr>
        <w:pStyle w:val="1151"/>
        <w:ind w:firstLine="680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 </w:t>
      </w:r>
      <w:r>
        <w:rPr>
          <w:rFonts w:eastAsia="Calibri" w:cs="Calibri"/>
          <w:sz w:val="28"/>
          <w:szCs w:val="22"/>
          <w:shd w:val="clear" w:color="auto" w:fill="ffffff"/>
          <w:lang w:bidi="ar-SA"/>
        </w:rPr>
        <w:t xml:space="preserve">проектирование и проведение землеустроительных, земляных, строительных, мелиоративных, хозяйственных и иных работ </w:t>
      </w:r>
      <w:r>
        <w:rPr>
          <w:rFonts w:eastAsia="Calibri" w:cs="Calibri"/>
          <w:sz w:val="28"/>
          <w:szCs w:val="22"/>
          <w:shd w:val="clear" w:color="auto" w:fill="ffffff"/>
          <w:lang w:bidi="ar-SA"/>
        </w:rPr>
        <w:t xml:space="preserve">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  <w:r/>
    </w:p>
    <w:p>
      <w:pPr>
        <w:pStyle w:val="1151"/>
        <w:ind w:firstLine="680"/>
        <w:jc w:val="both"/>
      </w:pPr>
      <w:r>
        <w:rPr>
          <w:rFonts w:eastAsia="Calibri" w:cs="Calibri"/>
          <w:sz w:val="28"/>
          <w:szCs w:val="22"/>
          <w:shd w:val="clear" w:color="auto" w:fill="ffffff"/>
          <w:lang w:bidi="ar-SA"/>
        </w:rPr>
        <w:t xml:space="preserve">В случае расположения на территории, подлежащей хозяйственному освоению, объектов культурного наследия выявленных объектов культурного наследия землеустроительные, земляные, строительные, мелиоративные, </w:t>
      </w:r>
      <w:r>
        <w:rPr>
          <w:rFonts w:eastAsia="Calibri" w:cs="Calibri"/>
          <w:sz w:val="28"/>
          <w:szCs w:val="22"/>
          <w:shd w:val="clear" w:color="auto" w:fill="ffffff"/>
          <w:lang w:bidi="ar-SA"/>
        </w:rPr>
        <w:t xml:space="preserve">хозяйственные и иные работы проводятся при наличии в проектах проведения таких работ разделов об обеспечении сохранности объектов  культурного наследия, выявленных объектов получивших положительное заключение государственной историко-культурной экспертизы.</w:t>
      </w:r>
      <w:r/>
    </w:p>
    <w:p>
      <w:pPr>
        <w:pStyle w:val="1116"/>
      </w:pPr>
      <w:r>
        <w:rPr>
          <w:rStyle w:val="1112"/>
          <w:color w:val="000000"/>
          <w:spacing w:val="2"/>
          <w:sz w:val="28"/>
          <w:szCs w:val="28"/>
          <w:shd w:val="clear" w:color="auto" w:fill="ffffff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;ＭＳ 明朝">
    <w:panose1 w:val="020B0604020202020204"/>
  </w:font>
  <w:font w:name="0">
    <w:panose1 w:val="020B0604020202020204"/>
  </w:font>
  <w:font w:name="Peterburg">
    <w:panose1 w:val="020B0604020202020204"/>
  </w:font>
  <w:font w:name="Tahoma">
    <w:panose1 w:val="020B0604030504040204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Liberation Mono">
    <w:panose1 w:val="02070409020205020404"/>
  </w:font>
  <w:font w:name="XO Thames;Times New Roman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2"/>
    </w:pPr>
    <w:r>
      <w:fldChar w:fldCharType="begin"/>
    </w:r>
    <w:r>
      <w:instrText xml:space="preserve">PAGE</w:instrText>
    </w:r>
    <w:r>
      <w:fldChar w:fldCharType="separate"/>
    </w:r>
    <w:r>
      <w:t xml:space="preserve">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2"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8"/>
    <w:next w:val="7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8"/>
    <w:link w:val="33"/>
    <w:uiPriority w:val="10"/>
    <w:rPr>
      <w:sz w:val="48"/>
      <w:szCs w:val="48"/>
    </w:rPr>
  </w:style>
  <w:style w:type="character" w:styleId="36">
    <w:name w:val="Subtitle Char"/>
    <w:basedOn w:val="718"/>
    <w:link w:val="1134"/>
    <w:uiPriority w:val="11"/>
    <w:rPr>
      <w:sz w:val="24"/>
      <w:szCs w:val="24"/>
    </w:rPr>
  </w:style>
  <w:style w:type="paragraph" w:styleId="37">
    <w:name w:val="Quote"/>
    <w:basedOn w:val="708"/>
    <w:next w:val="7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8"/>
    <w:next w:val="7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8"/>
    <w:link w:val="1122"/>
    <w:uiPriority w:val="99"/>
  </w:style>
  <w:style w:type="character" w:styleId="44">
    <w:name w:val="Footer Char"/>
    <w:basedOn w:val="718"/>
    <w:link w:val="1123"/>
    <w:uiPriority w:val="99"/>
  </w:style>
  <w:style w:type="character" w:styleId="46">
    <w:name w:val="Caption Char"/>
    <w:basedOn w:val="1118"/>
    <w:link w:val="1123"/>
    <w:uiPriority w:val="99"/>
  </w:style>
  <w:style w:type="table" w:styleId="47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7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8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49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0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2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4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5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6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7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8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59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1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2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3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4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5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6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1135"/>
    <w:uiPriority w:val="99"/>
    <w:rPr>
      <w:sz w:val="18"/>
    </w:rPr>
  </w:style>
  <w:style w:type="character" w:styleId="176">
    <w:name w:val="footnote reference"/>
    <w:basedOn w:val="718"/>
    <w:uiPriority w:val="99"/>
    <w:unhideWhenUsed/>
    <w:rPr>
      <w:vertAlign w:val="superscript"/>
    </w:rPr>
  </w:style>
  <w:style w:type="paragraph" w:styleId="177">
    <w:name w:val="endnote text"/>
    <w:basedOn w:val="7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8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qFormat/>
    <w:pPr>
      <w:ind w:firstLine="567"/>
      <w:jc w:val="both"/>
    </w:pPr>
    <w:rPr>
      <w:rFonts w:ascii="Times New Roman" w:hAnsi="Times New Roman" w:eastAsia="Calibri" w:cs="Calibri"/>
      <w:sz w:val="24"/>
      <w:szCs w:val="22"/>
      <w:lang w:bidi="ar-SA"/>
    </w:rPr>
  </w:style>
  <w:style w:type="paragraph" w:styleId="709">
    <w:name w:val="Heading 1"/>
    <w:basedOn w:val="708"/>
    <w:next w:val="708"/>
    <w:qFormat/>
    <w:pPr>
      <w:ind w:firstLine="709"/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10">
    <w:name w:val="Heading 2"/>
    <w:basedOn w:val="708"/>
    <w:next w:val="708"/>
    <w:qFormat/>
    <w:pPr>
      <w:ind w:left="1440" w:hanging="720"/>
      <w:jc w:val="left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11">
    <w:name w:val="Heading 3"/>
    <w:basedOn w:val="708"/>
    <w:next w:val="708"/>
    <w:qFormat/>
    <w:p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12">
    <w:name w:val="Heading 4"/>
    <w:basedOn w:val="708"/>
    <w:next w:val="708"/>
    <w:qFormat/>
    <w:pPr>
      <w:ind w:left="2880" w:hanging="720"/>
      <w:jc w:val="left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3">
    <w:name w:val="Heading 5"/>
    <w:basedOn w:val="708"/>
    <w:next w:val="708"/>
    <w:qFormat/>
    <w:pPr>
      <w:ind w:left="3600" w:hanging="720"/>
      <w:jc w:val="left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4">
    <w:name w:val="Heading 6"/>
    <w:basedOn w:val="708"/>
    <w:next w:val="708"/>
    <w:qFormat/>
    <w:pPr>
      <w:ind w:left="4320" w:hanging="720"/>
      <w:jc w:val="left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5">
    <w:name w:val="Heading 7"/>
    <w:basedOn w:val="708"/>
    <w:next w:val="708"/>
    <w:qFormat/>
    <w:pPr>
      <w:ind w:left="5040" w:hanging="720"/>
      <w:jc w:val="left"/>
      <w:spacing w:before="240" w:after="60"/>
      <w:outlineLvl w:val="6"/>
    </w:pPr>
    <w:rPr>
      <w:rFonts w:ascii="Calibri" w:hAnsi="Calibri" w:eastAsia="Times New Roman" w:cs="Times New Roman"/>
      <w:szCs w:val="24"/>
      <w:lang w:val="en-US"/>
    </w:rPr>
  </w:style>
  <w:style w:type="paragraph" w:styleId="716">
    <w:name w:val="Heading 8"/>
    <w:basedOn w:val="708"/>
    <w:next w:val="708"/>
    <w:qFormat/>
    <w:pPr>
      <w:ind w:left="5760" w:hanging="720"/>
      <w:jc w:val="left"/>
      <w:spacing w:before="240" w:after="60"/>
      <w:outlineLvl w:val="7"/>
    </w:pPr>
    <w:rPr>
      <w:rFonts w:ascii="Calibri" w:hAnsi="Calibri" w:eastAsia="Times New Roman" w:cs="Times New Roman"/>
      <w:i/>
      <w:iCs/>
      <w:szCs w:val="24"/>
      <w:lang w:val="en-US"/>
    </w:rPr>
  </w:style>
  <w:style w:type="paragraph" w:styleId="717">
    <w:name w:val="Heading 9"/>
    <w:basedOn w:val="708"/>
    <w:next w:val="708"/>
    <w:qFormat/>
    <w:pPr>
      <w:ind w:left="6480" w:hanging="720"/>
      <w:jc w:val="left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Основной шрифт абзаца13"/>
    <w:qFormat/>
  </w:style>
  <w:style w:type="character" w:styleId="722" w:customStyle="1">
    <w:name w:val="Основной шрифт абзаца12"/>
    <w:qFormat/>
  </w:style>
  <w:style w:type="character" w:styleId="723" w:customStyle="1">
    <w:name w:val="Основной шрифт абзаца11"/>
    <w:qFormat/>
  </w:style>
  <w:style w:type="character" w:styleId="724" w:customStyle="1">
    <w:name w:val="Основной шрифт абзаца10"/>
    <w:qFormat/>
  </w:style>
  <w:style w:type="character" w:styleId="725" w:customStyle="1">
    <w:name w:val="Основной шрифт абзаца9"/>
    <w:qFormat/>
  </w:style>
  <w:style w:type="character" w:styleId="726" w:customStyle="1">
    <w:name w:val="Основной шрифт абзаца8"/>
    <w:qFormat/>
  </w:style>
  <w:style w:type="character" w:styleId="727" w:customStyle="1">
    <w:name w:val="Основной шрифт абзаца7"/>
    <w:qFormat/>
  </w:style>
  <w:style w:type="character" w:styleId="728" w:customStyle="1">
    <w:name w:val="Основной шрифт абзаца6"/>
    <w:qFormat/>
  </w:style>
  <w:style w:type="character" w:styleId="729" w:customStyle="1">
    <w:name w:val="Основной шрифт абзаца5"/>
    <w:qFormat/>
  </w:style>
  <w:style w:type="character" w:styleId="730" w:customStyle="1">
    <w:name w:val="Основной шрифт абзаца4"/>
    <w:qFormat/>
  </w:style>
  <w:style w:type="character" w:styleId="731" w:customStyle="1">
    <w:name w:val="Основной шрифт абзаца3"/>
    <w:qFormat/>
  </w:style>
  <w:style w:type="character" w:styleId="732" w:customStyle="1">
    <w:name w:val="Основной шрифт абзаца2"/>
    <w:qFormat/>
  </w:style>
  <w:style w:type="character" w:styleId="733" w:customStyle="1">
    <w:name w:val="WW8Num16z1"/>
    <w:qFormat/>
  </w:style>
  <w:style w:type="character" w:styleId="734" w:customStyle="1">
    <w:name w:val="WW8Num23z3"/>
    <w:qFormat/>
  </w:style>
  <w:style w:type="character" w:styleId="735" w:customStyle="1">
    <w:name w:val="WW8Num24z1"/>
    <w:qFormat/>
  </w:style>
  <w:style w:type="character" w:styleId="736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37" w:customStyle="1">
    <w:name w:val="WW8Num26z0"/>
    <w:qFormat/>
  </w:style>
  <w:style w:type="character" w:styleId="738" w:customStyle="1">
    <w:name w:val="WW8Num26z2"/>
    <w:qFormat/>
  </w:style>
  <w:style w:type="character" w:styleId="739" w:customStyle="1">
    <w:name w:val="WW8Num26z4"/>
    <w:qFormat/>
  </w:style>
  <w:style w:type="character" w:styleId="740" w:customStyle="1">
    <w:name w:val="WW8Num26z6"/>
    <w:qFormat/>
  </w:style>
  <w:style w:type="character" w:styleId="741" w:customStyle="1">
    <w:name w:val="WW8Num26z8"/>
    <w:qFormat/>
  </w:style>
  <w:style w:type="character" w:styleId="742" w:customStyle="1">
    <w:name w:val="WW8Num28z0"/>
    <w:qFormat/>
  </w:style>
  <w:style w:type="character" w:styleId="743" w:customStyle="1">
    <w:name w:val="WW8Num28z1"/>
    <w:qFormat/>
  </w:style>
  <w:style w:type="character" w:styleId="744" w:customStyle="1">
    <w:name w:val="WW8Num29z0"/>
    <w:qFormat/>
  </w:style>
  <w:style w:type="character" w:styleId="745" w:customStyle="1">
    <w:name w:val="WW8Num29z1"/>
    <w:qFormat/>
  </w:style>
  <w:style w:type="character" w:styleId="746" w:customStyle="1">
    <w:name w:val="WW8Num29z2"/>
    <w:qFormat/>
  </w:style>
  <w:style w:type="character" w:styleId="747" w:customStyle="1">
    <w:name w:val="WW8Num29z3"/>
    <w:qFormat/>
  </w:style>
  <w:style w:type="character" w:styleId="748" w:customStyle="1">
    <w:name w:val="WW8Num29z4"/>
    <w:qFormat/>
  </w:style>
  <w:style w:type="character" w:styleId="749" w:customStyle="1">
    <w:name w:val="WW8Num29z5"/>
    <w:qFormat/>
  </w:style>
  <w:style w:type="character" w:styleId="750" w:customStyle="1">
    <w:name w:val="WW8Num29z6"/>
    <w:qFormat/>
  </w:style>
  <w:style w:type="character" w:styleId="751" w:customStyle="1">
    <w:name w:val="WW8Num29z7"/>
    <w:qFormat/>
  </w:style>
  <w:style w:type="character" w:styleId="752" w:customStyle="1">
    <w:name w:val="WW8Num29z8"/>
    <w:qFormat/>
  </w:style>
  <w:style w:type="character" w:styleId="753" w:customStyle="1">
    <w:name w:val="WW8Num30z0"/>
    <w:qFormat/>
    <w:rPr>
      <w:rFonts w:ascii="Symbol" w:hAnsi="Symbol" w:cs="Symbol"/>
    </w:rPr>
  </w:style>
  <w:style w:type="character" w:styleId="754" w:customStyle="1">
    <w:name w:val="WW8Num30z1"/>
    <w:qFormat/>
    <w:rPr>
      <w:rFonts w:ascii="Courier New" w:hAnsi="Courier New" w:cs="Courier New"/>
    </w:rPr>
  </w:style>
  <w:style w:type="character" w:styleId="755" w:customStyle="1">
    <w:name w:val="WW8Num30z2"/>
    <w:qFormat/>
    <w:rPr>
      <w:rFonts w:ascii="Wingdings" w:hAnsi="Wingdings" w:cs="Wingdings"/>
    </w:rPr>
  </w:style>
  <w:style w:type="character" w:styleId="756" w:customStyle="1">
    <w:name w:val="WW8Num31z0"/>
    <w:qFormat/>
    <w:rPr>
      <w:rFonts w:cs="Times New Roman"/>
    </w:rPr>
  </w:style>
  <w:style w:type="character" w:styleId="757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58" w:customStyle="1">
    <w:name w:val="WW8Num32z1"/>
    <w:qFormat/>
  </w:style>
  <w:style w:type="character" w:styleId="759" w:customStyle="1">
    <w:name w:val="WW8Num33z0"/>
    <w:qFormat/>
  </w:style>
  <w:style w:type="character" w:styleId="760" w:customStyle="1">
    <w:name w:val="WW8Num33z1"/>
    <w:qFormat/>
  </w:style>
  <w:style w:type="character" w:styleId="761" w:customStyle="1">
    <w:name w:val="WW8Num33z2"/>
    <w:qFormat/>
  </w:style>
  <w:style w:type="character" w:styleId="762" w:customStyle="1">
    <w:name w:val="WW8Num33z3"/>
    <w:qFormat/>
  </w:style>
  <w:style w:type="character" w:styleId="763" w:customStyle="1">
    <w:name w:val="WW8Num33z4"/>
    <w:qFormat/>
  </w:style>
  <w:style w:type="character" w:styleId="764" w:customStyle="1">
    <w:name w:val="WW8Num33z5"/>
    <w:qFormat/>
  </w:style>
  <w:style w:type="character" w:styleId="765" w:customStyle="1">
    <w:name w:val="WW8Num33z6"/>
    <w:qFormat/>
  </w:style>
  <w:style w:type="character" w:styleId="766" w:customStyle="1">
    <w:name w:val="WW8Num33z7"/>
    <w:qFormat/>
  </w:style>
  <w:style w:type="character" w:styleId="767" w:customStyle="1">
    <w:name w:val="WW8Num33z8"/>
    <w:qFormat/>
  </w:style>
  <w:style w:type="character" w:styleId="768" w:customStyle="1">
    <w:name w:val="WW8Num34z0"/>
    <w:qFormat/>
  </w:style>
  <w:style w:type="character" w:styleId="769" w:customStyle="1">
    <w:name w:val="WW8Num34z1"/>
    <w:qFormat/>
  </w:style>
  <w:style w:type="character" w:styleId="770" w:customStyle="1">
    <w:name w:val="WW8Num34z2"/>
    <w:qFormat/>
  </w:style>
  <w:style w:type="character" w:styleId="771" w:customStyle="1">
    <w:name w:val="WW8Num34z3"/>
    <w:qFormat/>
  </w:style>
  <w:style w:type="character" w:styleId="772" w:customStyle="1">
    <w:name w:val="WW8Num34z4"/>
    <w:qFormat/>
  </w:style>
  <w:style w:type="character" w:styleId="773" w:customStyle="1">
    <w:name w:val="WW8Num34z5"/>
    <w:qFormat/>
  </w:style>
  <w:style w:type="character" w:styleId="774" w:customStyle="1">
    <w:name w:val="WW8Num34z6"/>
    <w:qFormat/>
  </w:style>
  <w:style w:type="character" w:styleId="775" w:customStyle="1">
    <w:name w:val="WW8Num34z7"/>
    <w:qFormat/>
  </w:style>
  <w:style w:type="character" w:styleId="776" w:customStyle="1">
    <w:name w:val="WW8Num34z8"/>
    <w:qFormat/>
  </w:style>
  <w:style w:type="character" w:styleId="777" w:customStyle="1">
    <w:name w:val="WW8Num35z0"/>
    <w:qFormat/>
    <w:rPr>
      <w:rFonts w:ascii="Times New Roman" w:hAnsi="Times New Roman" w:cs="Times New Roman"/>
    </w:rPr>
  </w:style>
  <w:style w:type="character" w:styleId="778" w:customStyle="1">
    <w:name w:val="WW8Num35z1"/>
    <w:qFormat/>
    <w:rPr>
      <w:rFonts w:ascii="Courier New" w:hAnsi="Courier New" w:cs="Courier New"/>
    </w:rPr>
  </w:style>
  <w:style w:type="character" w:styleId="779" w:customStyle="1">
    <w:name w:val="WW8Num35z2"/>
    <w:qFormat/>
    <w:rPr>
      <w:rFonts w:ascii="Wingdings" w:hAnsi="Wingdings" w:cs="Wingdings"/>
    </w:rPr>
  </w:style>
  <w:style w:type="character" w:styleId="780" w:customStyle="1">
    <w:name w:val="WW8Num35z3"/>
    <w:qFormat/>
    <w:rPr>
      <w:rFonts w:ascii="Symbol" w:hAnsi="Symbol" w:cs="Symbol"/>
    </w:rPr>
  </w:style>
  <w:style w:type="character" w:styleId="781" w:customStyle="1">
    <w:name w:val="WW8Num36z0"/>
    <w:qFormat/>
    <w:rPr>
      <w:rFonts w:ascii="Symbol" w:hAnsi="Symbol" w:cs="Symbol"/>
    </w:rPr>
  </w:style>
  <w:style w:type="character" w:styleId="782" w:customStyle="1">
    <w:name w:val="WW8Num36z1"/>
    <w:qFormat/>
    <w:rPr>
      <w:rFonts w:ascii="Courier New" w:hAnsi="Courier New" w:cs="Courier New"/>
    </w:rPr>
  </w:style>
  <w:style w:type="character" w:styleId="783" w:customStyle="1">
    <w:name w:val="WW8Num36z2"/>
    <w:qFormat/>
    <w:rPr>
      <w:rFonts w:ascii="Wingdings" w:hAnsi="Wingdings" w:cs="Wingdings"/>
    </w:rPr>
  </w:style>
  <w:style w:type="character" w:styleId="784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785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786" w:customStyle="1">
    <w:name w:val="WW8Num37z2"/>
    <w:qFormat/>
  </w:style>
  <w:style w:type="character" w:styleId="787" w:customStyle="1">
    <w:name w:val="WW8Num38z0"/>
    <w:qFormat/>
    <w:rPr>
      <w:rFonts w:ascii="Symbol" w:hAnsi="Symbol" w:cs="Symbol"/>
    </w:rPr>
  </w:style>
  <w:style w:type="character" w:styleId="788" w:customStyle="1">
    <w:name w:val="WW8Num38z1"/>
    <w:qFormat/>
    <w:rPr>
      <w:rFonts w:ascii="Courier New" w:hAnsi="Courier New" w:cs="Courier New"/>
    </w:rPr>
  </w:style>
  <w:style w:type="character" w:styleId="789" w:customStyle="1">
    <w:name w:val="WW8Num38z2"/>
    <w:qFormat/>
    <w:rPr>
      <w:rFonts w:ascii="Wingdings" w:hAnsi="Wingdings" w:cs="Wingdings"/>
    </w:rPr>
  </w:style>
  <w:style w:type="character" w:styleId="790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791" w:customStyle="1">
    <w:name w:val="WW8Num39z1"/>
    <w:qFormat/>
  </w:style>
  <w:style w:type="character" w:styleId="792" w:customStyle="1">
    <w:name w:val="WW8Num40z0"/>
    <w:qFormat/>
    <w:rPr>
      <w:rFonts w:ascii="Symbol" w:hAnsi="Symbol" w:cs="Symbol"/>
    </w:rPr>
  </w:style>
  <w:style w:type="character" w:styleId="793" w:customStyle="1">
    <w:name w:val="WW8Num40z1"/>
    <w:qFormat/>
    <w:rPr>
      <w:rFonts w:ascii="Courier New" w:hAnsi="Courier New" w:cs="Courier New"/>
    </w:rPr>
  </w:style>
  <w:style w:type="character" w:styleId="794" w:customStyle="1">
    <w:name w:val="WW8Num40z2"/>
    <w:qFormat/>
    <w:rPr>
      <w:rFonts w:ascii="Wingdings" w:hAnsi="Wingdings" w:cs="Wingdings"/>
    </w:rPr>
  </w:style>
  <w:style w:type="character" w:styleId="795" w:customStyle="1">
    <w:name w:val="WW8Num41z0"/>
    <w:qFormat/>
    <w:rPr>
      <w:rFonts w:ascii="Symbol" w:hAnsi="Symbol" w:cs="Symbol"/>
    </w:rPr>
  </w:style>
  <w:style w:type="character" w:styleId="796" w:customStyle="1">
    <w:name w:val="WW8Num41z1"/>
    <w:qFormat/>
    <w:rPr>
      <w:rFonts w:ascii="Courier New" w:hAnsi="Courier New" w:cs="Courier New"/>
    </w:rPr>
  </w:style>
  <w:style w:type="character" w:styleId="797" w:customStyle="1">
    <w:name w:val="WW8Num41z2"/>
    <w:qFormat/>
    <w:rPr>
      <w:rFonts w:ascii="Wingdings" w:hAnsi="Wingdings" w:cs="Wingdings"/>
    </w:rPr>
  </w:style>
  <w:style w:type="character" w:styleId="798" w:customStyle="1">
    <w:name w:val="WW8Num42z0"/>
    <w:qFormat/>
  </w:style>
  <w:style w:type="character" w:styleId="799" w:customStyle="1">
    <w:name w:val="WW8Num42z1"/>
    <w:qFormat/>
  </w:style>
  <w:style w:type="character" w:styleId="800" w:customStyle="1">
    <w:name w:val="WW8Num42z2"/>
    <w:qFormat/>
  </w:style>
  <w:style w:type="character" w:styleId="801" w:customStyle="1">
    <w:name w:val="WW8Num42z3"/>
    <w:qFormat/>
  </w:style>
  <w:style w:type="character" w:styleId="802" w:customStyle="1">
    <w:name w:val="WW8Num42z4"/>
    <w:qFormat/>
  </w:style>
  <w:style w:type="character" w:styleId="803" w:customStyle="1">
    <w:name w:val="WW8Num42z5"/>
    <w:qFormat/>
  </w:style>
  <w:style w:type="character" w:styleId="804" w:customStyle="1">
    <w:name w:val="WW8Num42z6"/>
    <w:qFormat/>
  </w:style>
  <w:style w:type="character" w:styleId="805" w:customStyle="1">
    <w:name w:val="WW8Num42z7"/>
    <w:qFormat/>
  </w:style>
  <w:style w:type="character" w:styleId="806" w:customStyle="1">
    <w:name w:val="WW8Num42z8"/>
    <w:qFormat/>
  </w:style>
  <w:style w:type="character" w:styleId="807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08" w:customStyle="1">
    <w:name w:val="WW8Num43z1"/>
    <w:qFormat/>
  </w:style>
  <w:style w:type="character" w:styleId="809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10" w:customStyle="1">
    <w:name w:val="WW8Num44z1"/>
    <w:qFormat/>
  </w:style>
  <w:style w:type="character" w:styleId="811" w:customStyle="1">
    <w:name w:val="WW8Num44z2"/>
    <w:qFormat/>
  </w:style>
  <w:style w:type="character" w:styleId="812" w:customStyle="1">
    <w:name w:val="WW8Num44z3"/>
    <w:qFormat/>
  </w:style>
  <w:style w:type="character" w:styleId="813" w:customStyle="1">
    <w:name w:val="WW8Num44z4"/>
    <w:qFormat/>
  </w:style>
  <w:style w:type="character" w:styleId="814" w:customStyle="1">
    <w:name w:val="WW8Num44z5"/>
    <w:qFormat/>
  </w:style>
  <w:style w:type="character" w:styleId="815" w:customStyle="1">
    <w:name w:val="WW8Num44z6"/>
    <w:qFormat/>
  </w:style>
  <w:style w:type="character" w:styleId="816" w:customStyle="1">
    <w:name w:val="WW8Num44z7"/>
    <w:qFormat/>
  </w:style>
  <w:style w:type="character" w:styleId="817" w:customStyle="1">
    <w:name w:val="WW8Num44z8"/>
    <w:qFormat/>
  </w:style>
  <w:style w:type="character" w:styleId="818" w:customStyle="1">
    <w:name w:val="WW8Num45z0"/>
    <w:qFormat/>
    <w:rPr>
      <w:rFonts w:ascii="Symbol" w:hAnsi="Symbol" w:cs="Symbol"/>
    </w:rPr>
  </w:style>
  <w:style w:type="character" w:styleId="819" w:customStyle="1">
    <w:name w:val="WW8Num45z1"/>
    <w:qFormat/>
    <w:rPr>
      <w:rFonts w:ascii="Courier New" w:hAnsi="Courier New" w:cs="Courier New"/>
    </w:rPr>
  </w:style>
  <w:style w:type="character" w:styleId="820" w:customStyle="1">
    <w:name w:val="WW8Num45z2"/>
    <w:qFormat/>
    <w:rPr>
      <w:rFonts w:ascii="Wingdings" w:hAnsi="Wingdings" w:cs="Wingdings"/>
    </w:rPr>
  </w:style>
  <w:style w:type="character" w:styleId="821" w:customStyle="1">
    <w:name w:val="WW8Num46z0"/>
    <w:qFormat/>
  </w:style>
  <w:style w:type="character" w:styleId="822" w:customStyle="1">
    <w:name w:val="WW8Num46z1"/>
    <w:qFormat/>
  </w:style>
  <w:style w:type="character" w:styleId="823" w:customStyle="1">
    <w:name w:val="WW8Num46z2"/>
    <w:qFormat/>
  </w:style>
  <w:style w:type="character" w:styleId="824" w:customStyle="1">
    <w:name w:val="WW8Num46z3"/>
    <w:qFormat/>
  </w:style>
  <w:style w:type="character" w:styleId="825" w:customStyle="1">
    <w:name w:val="WW8Num46z4"/>
    <w:qFormat/>
  </w:style>
  <w:style w:type="character" w:styleId="826" w:customStyle="1">
    <w:name w:val="WW8Num46z5"/>
    <w:qFormat/>
  </w:style>
  <w:style w:type="character" w:styleId="827" w:customStyle="1">
    <w:name w:val="WW8Num46z6"/>
    <w:qFormat/>
  </w:style>
  <w:style w:type="character" w:styleId="828" w:customStyle="1">
    <w:name w:val="WW8Num46z7"/>
    <w:qFormat/>
  </w:style>
  <w:style w:type="character" w:styleId="829" w:customStyle="1">
    <w:name w:val="WW8Num46z8"/>
    <w:qFormat/>
  </w:style>
  <w:style w:type="character" w:styleId="830" w:customStyle="1">
    <w:name w:val="WW8Num47z0"/>
    <w:qFormat/>
  </w:style>
  <w:style w:type="character" w:styleId="831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32" w:customStyle="1">
    <w:name w:val="WW8Num47z3"/>
    <w:qFormat/>
  </w:style>
  <w:style w:type="character" w:styleId="833" w:customStyle="1">
    <w:name w:val="WW8Num47z5"/>
    <w:qFormat/>
  </w:style>
  <w:style w:type="character" w:styleId="834" w:customStyle="1">
    <w:name w:val="WW8Num47z6"/>
    <w:qFormat/>
  </w:style>
  <w:style w:type="character" w:styleId="835" w:customStyle="1">
    <w:name w:val="WW8Num47z7"/>
    <w:qFormat/>
  </w:style>
  <w:style w:type="character" w:styleId="836" w:customStyle="1">
    <w:name w:val="WW8Num47z8"/>
    <w:qFormat/>
  </w:style>
  <w:style w:type="character" w:styleId="837" w:customStyle="1">
    <w:name w:val="Основной текст Знак"/>
    <w:qFormat/>
  </w:style>
  <w:style w:type="character" w:styleId="838" w:customStyle="1">
    <w:name w:val="Интернет-ссылка"/>
    <w:rPr>
      <w:rFonts w:cs="Times New Roman"/>
      <w:color w:val="0000ff"/>
      <w:u w:val="single"/>
    </w:rPr>
  </w:style>
  <w:style w:type="character" w:styleId="839" w:customStyle="1">
    <w:name w:val="Верхний колонтитул Знак"/>
    <w:qFormat/>
  </w:style>
  <w:style w:type="character" w:styleId="840" w:customStyle="1">
    <w:name w:val="Нижний колонтитул Знак"/>
    <w:qFormat/>
  </w:style>
  <w:style w:type="character" w:styleId="841" w:customStyle="1">
    <w:name w:val="Основной текст с отступом Знак"/>
    <w:qFormat/>
  </w:style>
  <w:style w:type="character" w:styleId="842">
    <w:name w:val="Emphasis"/>
    <w:qFormat/>
    <w:rPr>
      <w:i/>
      <w:iCs/>
    </w:rPr>
  </w:style>
  <w:style w:type="character" w:styleId="843" w:customStyle="1">
    <w:name w:val="Выделение жирным"/>
    <w:qFormat/>
    <w:rPr>
      <w:b/>
      <w:bCs/>
    </w:rPr>
  </w:style>
  <w:style w:type="character" w:styleId="844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45" w:customStyle="1">
    <w:name w:val="Нумерация строк"/>
  </w:style>
  <w:style w:type="character" w:styleId="846">
    <w:name w:val="page number"/>
  </w:style>
  <w:style w:type="character" w:styleId="847" w:customStyle="1">
    <w:name w:val="Посещённая гиперссылка"/>
    <w:rPr>
      <w:color w:val="800080"/>
      <w:u w:val="single"/>
    </w:rPr>
  </w:style>
  <w:style w:type="character" w:styleId="848" w:customStyle="1">
    <w:name w:val="Ссылка указателя"/>
    <w:qFormat/>
  </w:style>
  <w:style w:type="character" w:styleId="849" w:customStyle="1">
    <w:name w:val="Символ нумерации"/>
    <w:qFormat/>
  </w:style>
  <w:style w:type="character" w:styleId="850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51" w:customStyle="1">
    <w:name w:val="WW8Num83z0"/>
    <w:qFormat/>
  </w:style>
  <w:style w:type="character" w:styleId="852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53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4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5" w:customStyle="1">
    <w:name w:val="WW8Num70z1"/>
    <w:qFormat/>
    <w:rPr>
      <w:rFonts w:ascii="Courier New" w:hAnsi="Courier New" w:eastAsia="Courier New" w:cs="Courier New"/>
    </w:rPr>
  </w:style>
  <w:style w:type="character" w:styleId="856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57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58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59" w:customStyle="1">
    <w:name w:val="WW8Num64z1"/>
    <w:qFormat/>
    <w:rPr>
      <w:rFonts w:ascii="Courier New" w:hAnsi="Courier New" w:eastAsia="Courier New" w:cs="Courier New"/>
    </w:rPr>
  </w:style>
  <w:style w:type="character" w:styleId="860" w:customStyle="1">
    <w:name w:val="основной"/>
    <w:qFormat/>
  </w:style>
  <w:style w:type="character" w:styleId="861" w:customStyle="1">
    <w:name w:val="WW8Num61z1"/>
    <w:qFormat/>
    <w:rPr>
      <w:rFonts w:ascii="Courier New" w:hAnsi="Courier New" w:eastAsia="Courier New" w:cs="Courier New"/>
    </w:rPr>
  </w:style>
  <w:style w:type="character" w:styleId="862" w:customStyle="1">
    <w:name w:val="Список1"/>
    <w:qFormat/>
  </w:style>
  <w:style w:type="character" w:styleId="863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4" w:customStyle="1">
    <w:name w:val="WW8Num72z1"/>
    <w:qFormat/>
    <w:rPr>
      <w:rFonts w:ascii="Courier New" w:hAnsi="Courier New" w:eastAsia="Courier New" w:cs="Courier New"/>
    </w:rPr>
  </w:style>
  <w:style w:type="character" w:styleId="865" w:customStyle="1">
    <w:name w:val="WW8Num66z1"/>
    <w:qFormat/>
    <w:rPr>
      <w:rFonts w:ascii="Courier New" w:hAnsi="Courier New" w:eastAsia="Courier New" w:cs="Courier New"/>
    </w:rPr>
  </w:style>
  <w:style w:type="character" w:styleId="866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7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68" w:customStyle="1">
    <w:name w:val="Содержимое врезки"/>
    <w:qFormat/>
  </w:style>
  <w:style w:type="character" w:styleId="869" w:customStyle="1">
    <w:name w:val="WW8Num67z1"/>
    <w:qFormat/>
    <w:rPr>
      <w:rFonts w:ascii="Courier New" w:hAnsi="Courier New" w:eastAsia="Courier New" w:cs="Courier New"/>
    </w:rPr>
  </w:style>
  <w:style w:type="character" w:styleId="870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71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2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73" w:customStyle="1">
    <w:name w:val="Маркеры"/>
    <w:qFormat/>
    <w:rPr>
      <w:rFonts w:ascii="OpenSymbol" w:hAnsi="OpenSymbol" w:eastAsia="OpenSymbol" w:cs="OpenSymbol"/>
    </w:rPr>
  </w:style>
  <w:style w:type="character" w:styleId="874" w:customStyle="1">
    <w:name w:val="WW8Num16z6"/>
    <w:qFormat/>
  </w:style>
  <w:style w:type="character" w:styleId="875" w:customStyle="1">
    <w:name w:val="WW8Num23z4"/>
    <w:qFormat/>
  </w:style>
  <w:style w:type="character" w:styleId="876" w:customStyle="1">
    <w:name w:val="WW8Num23z5"/>
    <w:qFormat/>
  </w:style>
  <w:style w:type="character" w:styleId="877" w:customStyle="1">
    <w:name w:val="WW8Num23z6"/>
    <w:qFormat/>
  </w:style>
  <w:style w:type="character" w:styleId="878" w:customStyle="1">
    <w:name w:val="WW8Num23z7"/>
    <w:qFormat/>
  </w:style>
  <w:style w:type="character" w:styleId="879" w:customStyle="1">
    <w:name w:val="WW8Num23z8"/>
    <w:qFormat/>
  </w:style>
  <w:style w:type="character" w:styleId="880" w:customStyle="1">
    <w:name w:val="WW8Num24z4"/>
    <w:qFormat/>
  </w:style>
  <w:style w:type="character" w:styleId="881" w:customStyle="1">
    <w:name w:val="WW8Num24z6"/>
    <w:qFormat/>
  </w:style>
  <w:style w:type="character" w:styleId="882" w:customStyle="1">
    <w:name w:val="WW8Num25z7"/>
    <w:qFormat/>
  </w:style>
  <w:style w:type="character" w:styleId="883" w:customStyle="1">
    <w:name w:val="WW8Num31z1"/>
    <w:qFormat/>
    <w:rPr>
      <w:rFonts w:ascii="Courier New" w:hAnsi="Courier New" w:eastAsia="Courier New" w:cs="Courier New"/>
    </w:rPr>
  </w:style>
  <w:style w:type="character" w:styleId="884" w:customStyle="1">
    <w:name w:val="WW8Num37z3"/>
    <w:qFormat/>
  </w:style>
  <w:style w:type="character" w:styleId="885" w:customStyle="1">
    <w:name w:val="WW8Num37z4"/>
    <w:qFormat/>
  </w:style>
  <w:style w:type="character" w:styleId="886" w:customStyle="1">
    <w:name w:val="WW8Num37z5"/>
    <w:qFormat/>
  </w:style>
  <w:style w:type="character" w:styleId="887" w:customStyle="1">
    <w:name w:val="WW8Num37z6"/>
    <w:qFormat/>
  </w:style>
  <w:style w:type="character" w:styleId="888" w:customStyle="1">
    <w:name w:val="WW8Num37z7"/>
    <w:qFormat/>
  </w:style>
  <w:style w:type="character" w:styleId="889" w:customStyle="1">
    <w:name w:val="WW8Num37z8"/>
    <w:qFormat/>
  </w:style>
  <w:style w:type="character" w:styleId="890" w:customStyle="1">
    <w:name w:val="WW8Num38z3"/>
    <w:qFormat/>
  </w:style>
  <w:style w:type="character" w:styleId="891" w:customStyle="1">
    <w:name w:val="WW8Num38z4"/>
    <w:qFormat/>
  </w:style>
  <w:style w:type="character" w:styleId="892" w:customStyle="1">
    <w:name w:val="WW8Num38z5"/>
    <w:qFormat/>
  </w:style>
  <w:style w:type="character" w:styleId="893" w:customStyle="1">
    <w:name w:val="WW8Num38z6"/>
    <w:qFormat/>
  </w:style>
  <w:style w:type="character" w:styleId="894" w:customStyle="1">
    <w:name w:val="WW8Num38z7"/>
    <w:qFormat/>
  </w:style>
  <w:style w:type="character" w:styleId="895" w:customStyle="1">
    <w:name w:val="WW8Num38z8"/>
    <w:qFormat/>
  </w:style>
  <w:style w:type="character" w:styleId="896" w:customStyle="1">
    <w:name w:val="WW8Num39z2"/>
    <w:qFormat/>
  </w:style>
  <w:style w:type="character" w:styleId="897" w:customStyle="1">
    <w:name w:val="WW8Num39z3"/>
    <w:qFormat/>
  </w:style>
  <w:style w:type="character" w:styleId="898" w:customStyle="1">
    <w:name w:val="WW8Num39z4"/>
    <w:qFormat/>
  </w:style>
  <w:style w:type="character" w:styleId="899" w:customStyle="1">
    <w:name w:val="WW8Num39z5"/>
    <w:qFormat/>
  </w:style>
  <w:style w:type="character" w:styleId="900" w:customStyle="1">
    <w:name w:val="WW8Num39z6"/>
    <w:qFormat/>
  </w:style>
  <w:style w:type="character" w:styleId="901" w:customStyle="1">
    <w:name w:val="WW8Num39z7"/>
    <w:qFormat/>
  </w:style>
  <w:style w:type="character" w:styleId="902" w:customStyle="1">
    <w:name w:val="WW8Num39z8"/>
    <w:qFormat/>
  </w:style>
  <w:style w:type="character" w:styleId="903" w:customStyle="1">
    <w:name w:val="WW8Num40z3"/>
    <w:qFormat/>
  </w:style>
  <w:style w:type="character" w:styleId="904" w:customStyle="1">
    <w:name w:val="WW8Num40z4"/>
    <w:qFormat/>
  </w:style>
  <w:style w:type="character" w:styleId="905" w:customStyle="1">
    <w:name w:val="WW8Num40z5"/>
    <w:qFormat/>
  </w:style>
  <w:style w:type="character" w:styleId="906" w:customStyle="1">
    <w:name w:val="WW8Num40z6"/>
    <w:qFormat/>
  </w:style>
  <w:style w:type="character" w:styleId="907" w:customStyle="1">
    <w:name w:val="WW8Num40z7"/>
    <w:qFormat/>
  </w:style>
  <w:style w:type="character" w:styleId="908" w:customStyle="1">
    <w:name w:val="WW8Num40z8"/>
    <w:qFormat/>
  </w:style>
  <w:style w:type="character" w:styleId="909" w:customStyle="1">
    <w:name w:val="WW8Num41z3"/>
    <w:qFormat/>
  </w:style>
  <w:style w:type="character" w:styleId="910" w:customStyle="1">
    <w:name w:val="WW8Num41z4"/>
    <w:qFormat/>
  </w:style>
  <w:style w:type="character" w:styleId="911" w:customStyle="1">
    <w:name w:val="WW8Num41z5"/>
    <w:qFormat/>
  </w:style>
  <w:style w:type="character" w:styleId="912" w:customStyle="1">
    <w:name w:val="WW8Num41z6"/>
    <w:qFormat/>
  </w:style>
  <w:style w:type="character" w:styleId="913" w:customStyle="1">
    <w:name w:val="WW8Num41z7"/>
    <w:qFormat/>
  </w:style>
  <w:style w:type="character" w:styleId="914" w:customStyle="1">
    <w:name w:val="WW8Num41z8"/>
    <w:qFormat/>
  </w:style>
  <w:style w:type="character" w:styleId="915" w:customStyle="1">
    <w:name w:val="WW8Num36z4"/>
    <w:qFormat/>
  </w:style>
  <w:style w:type="character" w:styleId="916" w:customStyle="1">
    <w:name w:val="WW8Num36z5"/>
    <w:qFormat/>
  </w:style>
  <w:style w:type="character" w:styleId="917" w:customStyle="1">
    <w:name w:val="WW8Num36z6"/>
    <w:qFormat/>
  </w:style>
  <w:style w:type="character" w:styleId="918" w:customStyle="1">
    <w:name w:val="WW8Num36z7"/>
    <w:qFormat/>
  </w:style>
  <w:style w:type="character" w:styleId="919" w:customStyle="1">
    <w:name w:val="WW8Num36z8"/>
    <w:qFormat/>
  </w:style>
  <w:style w:type="character" w:styleId="920" w:customStyle="1">
    <w:name w:val="WW8Num31z3"/>
    <w:qFormat/>
  </w:style>
  <w:style w:type="character" w:styleId="921" w:customStyle="1">
    <w:name w:val="WW8Num31z4"/>
    <w:qFormat/>
  </w:style>
  <w:style w:type="character" w:styleId="922" w:customStyle="1">
    <w:name w:val="WW8Num31z5"/>
    <w:qFormat/>
  </w:style>
  <w:style w:type="character" w:styleId="923" w:customStyle="1">
    <w:name w:val="WW8Num31z6"/>
    <w:qFormat/>
  </w:style>
  <w:style w:type="character" w:styleId="924" w:customStyle="1">
    <w:name w:val="WW8Num31z7"/>
    <w:qFormat/>
  </w:style>
  <w:style w:type="character" w:styleId="925" w:customStyle="1">
    <w:name w:val="WW8Num31z8"/>
    <w:qFormat/>
  </w:style>
  <w:style w:type="character" w:styleId="926" w:customStyle="1">
    <w:name w:val="WW-ConsCell"/>
    <w:qFormat/>
    <w:rPr>
      <w:rFonts w:ascii="Arial" w:hAnsi="Arial" w:eastAsia="Arial" w:cs="Arial"/>
    </w:rPr>
  </w:style>
  <w:style w:type="character" w:styleId="927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28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29" w:customStyle="1">
    <w:name w:val="Список Знак"/>
    <w:qFormat/>
    <w:rPr>
      <w:sz w:val="22"/>
    </w:rPr>
  </w:style>
  <w:style w:type="character" w:styleId="930" w:customStyle="1">
    <w:name w:val="WW-nienie"/>
    <w:qFormat/>
    <w:rPr>
      <w:rFonts w:ascii="Peterburg" w:hAnsi="Peterburg" w:eastAsia="Peterburg" w:cs="Peterburg"/>
      <w:sz w:val="24"/>
    </w:rPr>
  </w:style>
  <w:style w:type="character" w:styleId="931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32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33" w:customStyle="1">
    <w:name w:val="WW-ConsPlusNormal1"/>
    <w:qFormat/>
    <w:rPr>
      <w:rFonts w:ascii="Arial" w:hAnsi="Arial" w:eastAsia="Arial" w:cs="Arial"/>
      <w:sz w:val="22"/>
    </w:rPr>
  </w:style>
  <w:style w:type="character" w:styleId="934" w:customStyle="1">
    <w:name w:val="WW-ОСНОВНОЙ !!!"/>
    <w:qFormat/>
    <w:rPr>
      <w:rFonts w:ascii="Arial" w:hAnsi="Arial" w:eastAsia="Arial" w:cs="Arial"/>
      <w:sz w:val="20"/>
    </w:rPr>
  </w:style>
  <w:style w:type="character" w:styleId="935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36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37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38" w:customStyle="1">
    <w:name w:val="WW-apple-converted-space"/>
    <w:qFormat/>
    <w:rPr>
      <w:sz w:val="22"/>
    </w:rPr>
  </w:style>
  <w:style w:type="character" w:styleId="939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40" w:customStyle="1">
    <w:name w:val="WW-ConsNormal"/>
    <w:qFormat/>
    <w:rPr>
      <w:rFonts w:ascii="Arial" w:hAnsi="Arial" w:eastAsia="Arial" w:cs="Arial"/>
      <w:sz w:val="22"/>
    </w:rPr>
  </w:style>
  <w:style w:type="character" w:styleId="941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42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43" w:customStyle="1">
    <w:name w:val="WW-comment"/>
    <w:qFormat/>
    <w:rPr>
      <w:sz w:val="22"/>
    </w:rPr>
  </w:style>
  <w:style w:type="character" w:styleId="944" w:customStyle="1">
    <w:name w:val="WW-western"/>
    <w:qFormat/>
    <w:rPr>
      <w:rFonts w:ascii="Tahoma" w:hAnsi="Tahoma" w:eastAsia="Tahoma" w:cs="Tahoma"/>
      <w:sz w:val="18"/>
    </w:rPr>
  </w:style>
  <w:style w:type="character" w:styleId="945" w:customStyle="1">
    <w:name w:val="WW-ConsPlusNormal"/>
    <w:qFormat/>
    <w:rPr>
      <w:rFonts w:ascii="Arial" w:hAnsi="Arial" w:eastAsia="Arial" w:cs="Arial"/>
      <w:sz w:val="22"/>
    </w:rPr>
  </w:style>
  <w:style w:type="character" w:styleId="946" w:customStyle="1">
    <w:name w:val="WW-toc 10"/>
    <w:qFormat/>
    <w:rPr>
      <w:sz w:val="22"/>
    </w:rPr>
  </w:style>
  <w:style w:type="character" w:styleId="947" w:customStyle="1">
    <w:name w:val="WW-Без интервала11"/>
    <w:qFormat/>
    <w:rPr>
      <w:sz w:val="22"/>
    </w:rPr>
  </w:style>
  <w:style w:type="character" w:styleId="948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49" w:customStyle="1">
    <w:name w:val="WW-ConsPlusTitle"/>
    <w:qFormat/>
    <w:rPr>
      <w:rFonts w:ascii="Arial" w:hAnsi="Arial" w:eastAsia="Arial" w:cs="Arial"/>
      <w:b/>
      <w:sz w:val="22"/>
    </w:rPr>
  </w:style>
  <w:style w:type="character" w:styleId="950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51" w:customStyle="1">
    <w:name w:val="WW-match"/>
    <w:qFormat/>
    <w:rPr>
      <w:sz w:val="22"/>
    </w:rPr>
  </w:style>
  <w:style w:type="character" w:styleId="952" w:customStyle="1">
    <w:name w:val="WW8Num60z4"/>
    <w:qFormat/>
    <w:rPr>
      <w:rFonts w:ascii="Courier New" w:hAnsi="Courier New" w:eastAsia="Courier New" w:cs="Courier New"/>
    </w:rPr>
  </w:style>
  <w:style w:type="character" w:styleId="953" w:customStyle="1">
    <w:name w:val="WW8Num57z1"/>
    <w:qFormat/>
    <w:rPr>
      <w:rFonts w:ascii="Courier New" w:hAnsi="Courier New" w:eastAsia="Courier New" w:cs="Courier New"/>
    </w:rPr>
  </w:style>
  <w:style w:type="character" w:styleId="954" w:customStyle="1">
    <w:name w:val="WW8Num55z1"/>
    <w:qFormat/>
    <w:rPr>
      <w:rFonts w:ascii="Courier New" w:hAnsi="Courier New" w:eastAsia="Courier New" w:cs="Courier New"/>
    </w:rPr>
  </w:style>
  <w:style w:type="character" w:styleId="955" w:customStyle="1">
    <w:name w:val="WW8Num53z1"/>
    <w:qFormat/>
    <w:rPr>
      <w:rFonts w:ascii="Courier New" w:hAnsi="Courier New" w:eastAsia="Courier New" w:cs="Courier New"/>
    </w:rPr>
  </w:style>
  <w:style w:type="character" w:styleId="956" w:customStyle="1">
    <w:name w:val="WW8Num51z1"/>
    <w:qFormat/>
    <w:rPr>
      <w:rFonts w:ascii="Courier New" w:hAnsi="Courier New" w:eastAsia="Courier New" w:cs="Courier New"/>
    </w:rPr>
  </w:style>
  <w:style w:type="character" w:styleId="957" w:customStyle="1">
    <w:name w:val="WW8Num48z1"/>
    <w:qFormat/>
    <w:rPr>
      <w:rFonts w:ascii="Courier New" w:hAnsi="Courier New" w:eastAsia="Courier New" w:cs="Courier New"/>
    </w:rPr>
  </w:style>
  <w:style w:type="character" w:styleId="958" w:customStyle="1">
    <w:name w:val="WW8Num36z3"/>
    <w:qFormat/>
  </w:style>
  <w:style w:type="character" w:styleId="959" w:customStyle="1">
    <w:name w:val="WW8Num32z4"/>
    <w:qFormat/>
    <w:rPr>
      <w:rFonts w:ascii="Courier New" w:hAnsi="Courier New" w:eastAsia="Courier New" w:cs="Courier New"/>
    </w:rPr>
  </w:style>
  <w:style w:type="character" w:styleId="960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61" w:customStyle="1">
    <w:name w:val="WW8Num83z1"/>
    <w:qFormat/>
    <w:rPr>
      <w:rFonts w:ascii="Courier New" w:hAnsi="Courier New" w:eastAsia="Courier New" w:cs="Courier New"/>
    </w:rPr>
  </w:style>
  <w:style w:type="character" w:styleId="962" w:customStyle="1">
    <w:name w:val="WW8Num85z1"/>
    <w:qFormat/>
    <w:rPr>
      <w:rFonts w:ascii="Courier New" w:hAnsi="Courier New" w:eastAsia="Courier New" w:cs="Courier New"/>
    </w:rPr>
  </w:style>
  <w:style w:type="character" w:styleId="963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64" w:customStyle="1">
    <w:name w:val="WW8Num84z8"/>
    <w:qFormat/>
  </w:style>
  <w:style w:type="character" w:styleId="965" w:customStyle="1">
    <w:name w:val="WW8Num84z7"/>
    <w:qFormat/>
  </w:style>
  <w:style w:type="character" w:styleId="966" w:customStyle="1">
    <w:name w:val="WW8Num84z6"/>
    <w:qFormat/>
  </w:style>
  <w:style w:type="character" w:styleId="967" w:customStyle="1">
    <w:name w:val="WW8Num84z5"/>
    <w:qFormat/>
  </w:style>
  <w:style w:type="character" w:styleId="968" w:customStyle="1">
    <w:name w:val="WW8Num84z4"/>
    <w:qFormat/>
  </w:style>
  <w:style w:type="character" w:styleId="969" w:customStyle="1">
    <w:name w:val="WW8Num84z3"/>
    <w:qFormat/>
  </w:style>
  <w:style w:type="character" w:styleId="970" w:customStyle="1">
    <w:name w:val="WW8Num84z2"/>
    <w:qFormat/>
  </w:style>
  <w:style w:type="character" w:styleId="971" w:customStyle="1">
    <w:name w:val="WW8Num84z1"/>
    <w:qFormat/>
  </w:style>
  <w:style w:type="character" w:styleId="972" w:customStyle="1">
    <w:name w:val="WW8Num84z0"/>
    <w:qFormat/>
  </w:style>
  <w:style w:type="character" w:styleId="973" w:customStyle="1">
    <w:name w:val="WW8Num81z8"/>
    <w:qFormat/>
  </w:style>
  <w:style w:type="character" w:styleId="974" w:customStyle="1">
    <w:name w:val="WW8Num81z7"/>
    <w:qFormat/>
  </w:style>
  <w:style w:type="character" w:styleId="975" w:customStyle="1">
    <w:name w:val="WW8Num81z6"/>
    <w:qFormat/>
  </w:style>
  <w:style w:type="character" w:styleId="976" w:customStyle="1">
    <w:name w:val="WW8Num81z5"/>
    <w:qFormat/>
  </w:style>
  <w:style w:type="character" w:styleId="977" w:customStyle="1">
    <w:name w:val="WW8Num81z4"/>
    <w:qFormat/>
  </w:style>
  <w:style w:type="character" w:styleId="978" w:customStyle="1">
    <w:name w:val="WW8Num81z3"/>
    <w:qFormat/>
  </w:style>
  <w:style w:type="character" w:styleId="979" w:customStyle="1">
    <w:name w:val="WW8Num81z2"/>
    <w:qFormat/>
  </w:style>
  <w:style w:type="character" w:styleId="980" w:customStyle="1">
    <w:name w:val="WW8Num81z1"/>
    <w:qFormat/>
  </w:style>
  <w:style w:type="character" w:styleId="981" w:customStyle="1">
    <w:name w:val="WW8Num81z0"/>
    <w:qFormat/>
  </w:style>
  <w:style w:type="character" w:styleId="982" w:customStyle="1">
    <w:name w:val="WW8Num80z0"/>
    <w:qFormat/>
  </w:style>
  <w:style w:type="character" w:styleId="983" w:customStyle="1">
    <w:name w:val="WW8Num79z1"/>
    <w:qFormat/>
    <w:rPr>
      <w:rFonts w:ascii="Courier New" w:hAnsi="Courier New" w:eastAsia="Courier New" w:cs="Courier New"/>
    </w:rPr>
  </w:style>
  <w:style w:type="character" w:styleId="984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985" w:customStyle="1">
    <w:name w:val="WW8Num78z1"/>
    <w:qFormat/>
    <w:rPr>
      <w:rFonts w:ascii="Courier New" w:hAnsi="Courier New" w:eastAsia="Courier New" w:cs="Courier New"/>
    </w:rPr>
  </w:style>
  <w:style w:type="character" w:styleId="986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987" w:customStyle="1">
    <w:name w:val="WW8Num77z8"/>
    <w:qFormat/>
  </w:style>
  <w:style w:type="character" w:styleId="988" w:customStyle="1">
    <w:name w:val="WW8Num77z7"/>
    <w:qFormat/>
  </w:style>
  <w:style w:type="character" w:styleId="989" w:customStyle="1">
    <w:name w:val="WW8Num77z6"/>
    <w:qFormat/>
  </w:style>
  <w:style w:type="character" w:styleId="990" w:customStyle="1">
    <w:name w:val="WW8Num77z5"/>
    <w:qFormat/>
  </w:style>
  <w:style w:type="character" w:styleId="991" w:customStyle="1">
    <w:name w:val="WW8Num77z4"/>
    <w:qFormat/>
  </w:style>
  <w:style w:type="character" w:styleId="992" w:customStyle="1">
    <w:name w:val="WW8Num77z3"/>
    <w:qFormat/>
  </w:style>
  <w:style w:type="character" w:styleId="993" w:customStyle="1">
    <w:name w:val="WW8Num77z2"/>
    <w:qFormat/>
  </w:style>
  <w:style w:type="character" w:styleId="994" w:customStyle="1">
    <w:name w:val="WW8Num77z1"/>
    <w:qFormat/>
  </w:style>
  <w:style w:type="character" w:styleId="995" w:customStyle="1">
    <w:name w:val="WW8Num77z0"/>
    <w:qFormat/>
  </w:style>
  <w:style w:type="character" w:styleId="996" w:customStyle="1">
    <w:name w:val="WW8Num76z1"/>
    <w:qFormat/>
    <w:rPr>
      <w:rFonts w:ascii="Courier New" w:hAnsi="Courier New" w:eastAsia="Courier New" w:cs="Courier New"/>
    </w:rPr>
  </w:style>
  <w:style w:type="character" w:styleId="997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998" w:customStyle="1">
    <w:name w:val="WW8Num75z1"/>
    <w:qFormat/>
    <w:rPr>
      <w:rFonts w:ascii="Courier New" w:hAnsi="Courier New" w:eastAsia="Courier New" w:cs="Courier New"/>
    </w:rPr>
  </w:style>
  <w:style w:type="character" w:styleId="999" w:customStyle="1">
    <w:name w:val="WW8Num74z8"/>
    <w:qFormat/>
  </w:style>
  <w:style w:type="character" w:styleId="1000" w:customStyle="1">
    <w:name w:val="WW8Num74z7"/>
    <w:qFormat/>
  </w:style>
  <w:style w:type="character" w:styleId="1001" w:customStyle="1">
    <w:name w:val="WW8Num74z6"/>
    <w:qFormat/>
  </w:style>
  <w:style w:type="character" w:styleId="1002" w:customStyle="1">
    <w:name w:val="WW8Num74z5"/>
    <w:qFormat/>
  </w:style>
  <w:style w:type="character" w:styleId="1003" w:customStyle="1">
    <w:name w:val="WW8Num74z4"/>
    <w:qFormat/>
  </w:style>
  <w:style w:type="character" w:styleId="1004" w:customStyle="1">
    <w:name w:val="WW8Num74z3"/>
    <w:qFormat/>
  </w:style>
  <w:style w:type="character" w:styleId="1005" w:customStyle="1">
    <w:name w:val="WW8Num74z2"/>
    <w:qFormat/>
  </w:style>
  <w:style w:type="character" w:styleId="1006" w:customStyle="1">
    <w:name w:val="WW8Num74z1"/>
    <w:qFormat/>
  </w:style>
  <w:style w:type="character" w:styleId="1007" w:customStyle="1">
    <w:name w:val="WW8Num74z0"/>
    <w:qFormat/>
  </w:style>
  <w:style w:type="character" w:styleId="1008" w:customStyle="1">
    <w:name w:val="WW8Num71z1"/>
    <w:qFormat/>
    <w:rPr>
      <w:rFonts w:ascii="Courier New" w:hAnsi="Courier New" w:eastAsia="Courier New" w:cs="Courier New"/>
    </w:rPr>
  </w:style>
  <w:style w:type="character" w:styleId="1009" w:customStyle="1">
    <w:name w:val="WW8Num69z8"/>
    <w:qFormat/>
  </w:style>
  <w:style w:type="character" w:styleId="1010" w:customStyle="1">
    <w:name w:val="WW8Num69z7"/>
    <w:qFormat/>
  </w:style>
  <w:style w:type="character" w:styleId="1011" w:customStyle="1">
    <w:name w:val="WW8Num69z6"/>
    <w:qFormat/>
  </w:style>
  <w:style w:type="character" w:styleId="1012" w:customStyle="1">
    <w:name w:val="WW8Num69z5"/>
    <w:qFormat/>
  </w:style>
  <w:style w:type="character" w:styleId="1013" w:customStyle="1">
    <w:name w:val="WW8Num69z4"/>
    <w:qFormat/>
  </w:style>
  <w:style w:type="character" w:styleId="1014" w:customStyle="1">
    <w:name w:val="WW8Num69z3"/>
    <w:qFormat/>
  </w:style>
  <w:style w:type="character" w:styleId="1015" w:customStyle="1">
    <w:name w:val="WW8Num69z2"/>
    <w:qFormat/>
  </w:style>
  <w:style w:type="character" w:styleId="1016" w:customStyle="1">
    <w:name w:val="WW8Num69z0"/>
    <w:qFormat/>
  </w:style>
  <w:style w:type="character" w:styleId="1017" w:customStyle="1">
    <w:name w:val="WW8Num68z1"/>
    <w:qFormat/>
    <w:rPr>
      <w:rFonts w:ascii="Courier New" w:hAnsi="Courier New" w:eastAsia="Courier New" w:cs="Courier New"/>
    </w:rPr>
  </w:style>
  <w:style w:type="character" w:styleId="1018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19" w:customStyle="1">
    <w:name w:val="WW8Num65z1"/>
    <w:qFormat/>
    <w:rPr>
      <w:rFonts w:ascii="Courier New" w:hAnsi="Courier New" w:eastAsia="Courier New" w:cs="Courier New"/>
    </w:rPr>
  </w:style>
  <w:style w:type="character" w:styleId="1020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21" w:customStyle="1">
    <w:name w:val="WW8Num63z4"/>
    <w:qFormat/>
    <w:rPr>
      <w:rFonts w:eastAsia="Times New Roman"/>
    </w:rPr>
  </w:style>
  <w:style w:type="character" w:styleId="1022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23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24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25" w:customStyle="1">
    <w:name w:val="WW8Num62z8"/>
    <w:qFormat/>
  </w:style>
  <w:style w:type="character" w:styleId="1026" w:customStyle="1">
    <w:name w:val="WW8Num62z7"/>
    <w:qFormat/>
  </w:style>
  <w:style w:type="character" w:styleId="1027" w:customStyle="1">
    <w:name w:val="WW8Num62z6"/>
    <w:qFormat/>
  </w:style>
  <w:style w:type="character" w:styleId="1028" w:customStyle="1">
    <w:name w:val="WW8Num62z5"/>
    <w:qFormat/>
  </w:style>
  <w:style w:type="character" w:styleId="1029" w:customStyle="1">
    <w:name w:val="WW8Num62z4"/>
    <w:qFormat/>
  </w:style>
  <w:style w:type="character" w:styleId="1030" w:customStyle="1">
    <w:name w:val="WW8Num62z3"/>
    <w:qFormat/>
  </w:style>
  <w:style w:type="character" w:styleId="1031" w:customStyle="1">
    <w:name w:val="WW8Num62z2"/>
    <w:qFormat/>
  </w:style>
  <w:style w:type="character" w:styleId="1032" w:customStyle="1">
    <w:name w:val="WW8Num62z1"/>
    <w:qFormat/>
  </w:style>
  <w:style w:type="character" w:styleId="1033" w:customStyle="1">
    <w:name w:val="WW8Num62z0"/>
    <w:qFormat/>
  </w:style>
  <w:style w:type="character" w:styleId="1034" w:customStyle="1">
    <w:name w:val="WW8Num60z1"/>
    <w:qFormat/>
    <w:rPr>
      <w:rFonts w:ascii="Courier New" w:hAnsi="Courier New" w:eastAsia="Courier New" w:cs="Courier New"/>
    </w:rPr>
  </w:style>
  <w:style w:type="character" w:styleId="1035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36" w:customStyle="1">
    <w:name w:val="WW8Num59z8"/>
    <w:qFormat/>
  </w:style>
  <w:style w:type="character" w:styleId="1037" w:customStyle="1">
    <w:name w:val="WW8Num59z7"/>
    <w:qFormat/>
  </w:style>
  <w:style w:type="character" w:styleId="1038" w:customStyle="1">
    <w:name w:val="WW8Num59z6"/>
    <w:qFormat/>
  </w:style>
  <w:style w:type="character" w:styleId="1039" w:customStyle="1">
    <w:name w:val="WW8Num59z5"/>
    <w:qFormat/>
  </w:style>
  <w:style w:type="character" w:styleId="1040" w:customStyle="1">
    <w:name w:val="WW8Num59z4"/>
    <w:qFormat/>
  </w:style>
  <w:style w:type="character" w:styleId="1041" w:customStyle="1">
    <w:name w:val="WW8Num59z3"/>
    <w:qFormat/>
  </w:style>
  <w:style w:type="character" w:styleId="1042" w:customStyle="1">
    <w:name w:val="WW8Num59z2"/>
    <w:qFormat/>
  </w:style>
  <w:style w:type="character" w:styleId="1043" w:customStyle="1">
    <w:name w:val="WW8Num59z1"/>
    <w:qFormat/>
  </w:style>
  <w:style w:type="character" w:styleId="1044" w:customStyle="1">
    <w:name w:val="WW8Num59z0"/>
    <w:qFormat/>
  </w:style>
  <w:style w:type="character" w:styleId="1045" w:customStyle="1">
    <w:name w:val="WW8Num58z8"/>
    <w:qFormat/>
  </w:style>
  <w:style w:type="character" w:styleId="1046" w:customStyle="1">
    <w:name w:val="WW8Num58z7"/>
    <w:qFormat/>
  </w:style>
  <w:style w:type="character" w:styleId="1047" w:customStyle="1">
    <w:name w:val="WW8Num58z6"/>
    <w:qFormat/>
  </w:style>
  <w:style w:type="character" w:styleId="1048" w:customStyle="1">
    <w:name w:val="WW8Num58z5"/>
    <w:qFormat/>
  </w:style>
  <w:style w:type="character" w:styleId="1049" w:customStyle="1">
    <w:name w:val="WW8Num58z4"/>
    <w:qFormat/>
  </w:style>
  <w:style w:type="character" w:styleId="1050" w:customStyle="1">
    <w:name w:val="WW8Num58z3"/>
    <w:qFormat/>
  </w:style>
  <w:style w:type="character" w:styleId="1051" w:customStyle="1">
    <w:name w:val="WW8Num58z2"/>
    <w:qFormat/>
  </w:style>
  <w:style w:type="character" w:styleId="1052" w:customStyle="1">
    <w:name w:val="WW8Num58z1"/>
    <w:qFormat/>
  </w:style>
  <w:style w:type="character" w:styleId="1053" w:customStyle="1">
    <w:name w:val="WW8Num58z0"/>
    <w:qFormat/>
  </w:style>
  <w:style w:type="character" w:styleId="1054" w:customStyle="1">
    <w:name w:val="WW8Num56z8"/>
    <w:qFormat/>
  </w:style>
  <w:style w:type="character" w:styleId="1055" w:customStyle="1">
    <w:name w:val="WW8Num56z7"/>
    <w:qFormat/>
  </w:style>
  <w:style w:type="character" w:styleId="1056" w:customStyle="1">
    <w:name w:val="WW8Num56z6"/>
    <w:qFormat/>
  </w:style>
  <w:style w:type="character" w:styleId="1057" w:customStyle="1">
    <w:name w:val="WW8Num56z5"/>
    <w:qFormat/>
  </w:style>
  <w:style w:type="character" w:styleId="1058" w:customStyle="1">
    <w:name w:val="WW8Num56z4"/>
    <w:qFormat/>
  </w:style>
  <w:style w:type="character" w:styleId="1059" w:customStyle="1">
    <w:name w:val="WW8Num56z3"/>
    <w:qFormat/>
  </w:style>
  <w:style w:type="character" w:styleId="1060" w:customStyle="1">
    <w:name w:val="WW8Num56z2"/>
    <w:qFormat/>
  </w:style>
  <w:style w:type="character" w:styleId="1061" w:customStyle="1">
    <w:name w:val="WW8Num56z1"/>
    <w:qFormat/>
  </w:style>
  <w:style w:type="character" w:styleId="1062" w:customStyle="1">
    <w:name w:val="WW8Num56z0"/>
    <w:qFormat/>
  </w:style>
  <w:style w:type="character" w:styleId="1063" w:customStyle="1">
    <w:name w:val="WW8Num55z0"/>
    <w:qFormat/>
    <w:rPr>
      <w:rFonts w:ascii="Times New Roman" w:hAnsi="Times New Roman" w:eastAsia="Times New Roman" w:cs="Times New Roman"/>
    </w:rPr>
  </w:style>
  <w:style w:type="character" w:styleId="1064" w:customStyle="1">
    <w:name w:val="WW8Num54z8"/>
    <w:qFormat/>
  </w:style>
  <w:style w:type="character" w:styleId="1065" w:customStyle="1">
    <w:name w:val="WW8Num54z7"/>
    <w:qFormat/>
  </w:style>
  <w:style w:type="character" w:styleId="1066" w:customStyle="1">
    <w:name w:val="WW8Num54z6"/>
    <w:qFormat/>
  </w:style>
  <w:style w:type="character" w:styleId="1067" w:customStyle="1">
    <w:name w:val="WW8Num54z5"/>
    <w:qFormat/>
  </w:style>
  <w:style w:type="character" w:styleId="1068" w:customStyle="1">
    <w:name w:val="WW8Num54z4"/>
    <w:qFormat/>
  </w:style>
  <w:style w:type="character" w:styleId="1069" w:customStyle="1">
    <w:name w:val="WW8Num54z3"/>
    <w:qFormat/>
  </w:style>
  <w:style w:type="character" w:styleId="1070" w:customStyle="1">
    <w:name w:val="WW8Num54z2"/>
    <w:qFormat/>
  </w:style>
  <w:style w:type="character" w:styleId="1071" w:customStyle="1">
    <w:name w:val="WW8Num54z1"/>
    <w:qFormat/>
  </w:style>
  <w:style w:type="character" w:styleId="1072" w:customStyle="1">
    <w:name w:val="WW8Num54z0"/>
    <w:qFormat/>
  </w:style>
  <w:style w:type="character" w:styleId="1073" w:customStyle="1">
    <w:name w:val="WW8Num53z0"/>
    <w:qFormat/>
    <w:rPr>
      <w:rFonts w:ascii="Times New Roman" w:hAnsi="Times New Roman" w:eastAsia="Times New Roman" w:cs="Times New Roman"/>
    </w:rPr>
  </w:style>
  <w:style w:type="character" w:styleId="1074" w:customStyle="1">
    <w:name w:val="WW8Num52z8"/>
    <w:qFormat/>
  </w:style>
  <w:style w:type="character" w:styleId="1075" w:customStyle="1">
    <w:name w:val="WW8Num52z7"/>
    <w:qFormat/>
  </w:style>
  <w:style w:type="character" w:styleId="1076" w:customStyle="1">
    <w:name w:val="WW8Num52z6"/>
    <w:qFormat/>
  </w:style>
  <w:style w:type="character" w:styleId="1077" w:customStyle="1">
    <w:name w:val="WW8Num52z5"/>
    <w:qFormat/>
  </w:style>
  <w:style w:type="character" w:styleId="1078" w:customStyle="1">
    <w:name w:val="WW8Num52z4"/>
    <w:qFormat/>
  </w:style>
  <w:style w:type="character" w:styleId="1079" w:customStyle="1">
    <w:name w:val="WW8Num52z3"/>
    <w:qFormat/>
  </w:style>
  <w:style w:type="character" w:styleId="1080" w:customStyle="1">
    <w:name w:val="WW8Num52z2"/>
    <w:qFormat/>
  </w:style>
  <w:style w:type="character" w:styleId="1081" w:customStyle="1">
    <w:name w:val="WW8Num52z1"/>
    <w:qFormat/>
    <w:rPr>
      <w:rFonts w:eastAsia="Arial"/>
      <w:szCs w:val="28"/>
    </w:rPr>
  </w:style>
  <w:style w:type="character" w:styleId="1082" w:customStyle="1">
    <w:name w:val="WW8Num52z0"/>
    <w:qFormat/>
  </w:style>
  <w:style w:type="character" w:styleId="1083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084" w:customStyle="1">
    <w:name w:val="WW8Num50z8"/>
    <w:qFormat/>
  </w:style>
  <w:style w:type="character" w:styleId="1085" w:customStyle="1">
    <w:name w:val="WW8Num50z7"/>
    <w:qFormat/>
  </w:style>
  <w:style w:type="character" w:styleId="1086" w:customStyle="1">
    <w:name w:val="WW8Num50z6"/>
    <w:qFormat/>
  </w:style>
  <w:style w:type="character" w:styleId="1087" w:customStyle="1">
    <w:name w:val="WW8Num50z5"/>
    <w:qFormat/>
  </w:style>
  <w:style w:type="character" w:styleId="1088" w:customStyle="1">
    <w:name w:val="WW8Num50z4"/>
    <w:qFormat/>
  </w:style>
  <w:style w:type="character" w:styleId="1089" w:customStyle="1">
    <w:name w:val="WW8Num50z3"/>
    <w:qFormat/>
  </w:style>
  <w:style w:type="character" w:styleId="1090" w:customStyle="1">
    <w:name w:val="WW8Num50z2"/>
    <w:qFormat/>
  </w:style>
  <w:style w:type="character" w:styleId="1091" w:customStyle="1">
    <w:name w:val="WW8Num50z1"/>
    <w:qFormat/>
    <w:rPr>
      <w:rFonts w:eastAsia="Arial"/>
      <w:szCs w:val="28"/>
    </w:rPr>
  </w:style>
  <w:style w:type="character" w:styleId="1092" w:customStyle="1">
    <w:name w:val="WW8Num50z0"/>
    <w:qFormat/>
  </w:style>
  <w:style w:type="character" w:styleId="1093" w:customStyle="1">
    <w:name w:val="WW8Num49z8"/>
    <w:qFormat/>
  </w:style>
  <w:style w:type="character" w:styleId="1094" w:customStyle="1">
    <w:name w:val="WW8Num49z7"/>
    <w:qFormat/>
  </w:style>
  <w:style w:type="character" w:styleId="1095" w:customStyle="1">
    <w:name w:val="WW8Num49z6"/>
    <w:qFormat/>
  </w:style>
  <w:style w:type="character" w:styleId="1096" w:customStyle="1">
    <w:name w:val="WW8Num49z5"/>
    <w:qFormat/>
  </w:style>
  <w:style w:type="character" w:styleId="1097" w:customStyle="1">
    <w:name w:val="WW8Num49z4"/>
    <w:qFormat/>
  </w:style>
  <w:style w:type="character" w:styleId="1098" w:customStyle="1">
    <w:name w:val="WW8Num49z3"/>
    <w:qFormat/>
  </w:style>
  <w:style w:type="character" w:styleId="1099" w:customStyle="1">
    <w:name w:val="WW8Num49z2"/>
    <w:qFormat/>
  </w:style>
  <w:style w:type="character" w:styleId="1100" w:customStyle="1">
    <w:name w:val="WW8Num49z1"/>
    <w:qFormat/>
    <w:rPr>
      <w:rFonts w:eastAsia="Arial"/>
      <w:szCs w:val="28"/>
    </w:rPr>
  </w:style>
  <w:style w:type="character" w:styleId="1101" w:customStyle="1">
    <w:name w:val="WW8Num49z0"/>
    <w:qFormat/>
  </w:style>
  <w:style w:type="character" w:styleId="1102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03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04" w:customStyle="1">
    <w:name w:val="WW8Num28z8"/>
    <w:qFormat/>
  </w:style>
  <w:style w:type="character" w:styleId="1105" w:customStyle="1">
    <w:name w:val="WW8Num28z7"/>
    <w:qFormat/>
  </w:style>
  <w:style w:type="character" w:styleId="1106" w:customStyle="1">
    <w:name w:val="WW8Num28z6"/>
    <w:qFormat/>
  </w:style>
  <w:style w:type="character" w:styleId="1107" w:customStyle="1">
    <w:name w:val="WW8Num28z5"/>
    <w:qFormat/>
  </w:style>
  <w:style w:type="character" w:styleId="1108" w:customStyle="1">
    <w:name w:val="WW8Num28z4"/>
    <w:qFormat/>
  </w:style>
  <w:style w:type="character" w:styleId="1109" w:customStyle="1">
    <w:name w:val="WW8Num28z3"/>
    <w:qFormat/>
  </w:style>
  <w:style w:type="character" w:styleId="1110" w:customStyle="1">
    <w:name w:val="WW8Num28z2"/>
    <w:qFormat/>
  </w:style>
  <w:style w:type="character" w:styleId="1111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12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13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14" w:customStyle="1">
    <w:name w:val="Цветовое выделение для Текст"/>
    <w:qFormat/>
  </w:style>
  <w:style w:type="paragraph" w:styleId="1115" w:customStyle="1">
    <w:name w:val="Заголовок"/>
    <w:basedOn w:val="708"/>
    <w:next w:val="11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6">
    <w:name w:val="Body Text"/>
    <w:basedOn w:val="708"/>
    <w:pPr>
      <w:ind w:firstLine="709"/>
    </w:pPr>
    <w:rPr>
      <w:sz w:val="28"/>
    </w:rPr>
  </w:style>
  <w:style w:type="paragraph" w:styleId="1117">
    <w:name w:val="List"/>
    <w:basedOn w:val="1116"/>
    <w:rPr>
      <w:rFonts w:cs="Arial"/>
    </w:rPr>
  </w:style>
  <w:style w:type="paragraph" w:styleId="1118">
    <w:name w:val="Caption"/>
    <w:basedOn w:val="708"/>
    <w:qFormat/>
    <w:pPr>
      <w:spacing w:before="120" w:after="120"/>
      <w:suppressLineNumbers/>
    </w:pPr>
    <w:rPr>
      <w:rFonts w:cs="Mangal"/>
      <w:i/>
      <w:iCs/>
      <w:szCs w:val="24"/>
    </w:rPr>
  </w:style>
  <w:style w:type="paragraph" w:styleId="1119">
    <w:name w:val="index heading"/>
    <w:basedOn w:val="708"/>
    <w:pPr>
      <w:ind w:firstLine="0"/>
      <w:suppressLineNumbers/>
    </w:pPr>
    <w:rPr>
      <w:b/>
      <w:bCs/>
      <w:sz w:val="32"/>
      <w:szCs w:val="32"/>
    </w:rPr>
  </w:style>
  <w:style w:type="paragraph" w:styleId="1120" w:customStyle="1">
    <w:name w:val="Колонтитул"/>
    <w:basedOn w:val="70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121" w:customStyle="1">
    <w:name w:val="Верхний и нижний колонтитулы"/>
    <w:basedOn w:val="708"/>
    <w:qFormat/>
  </w:style>
  <w:style w:type="paragraph" w:styleId="1122">
    <w:name w:val="Header"/>
    <w:basedOn w:val="708"/>
    <w:pPr>
      <w:ind w:firstLine="0"/>
      <w:jc w:val="center"/>
      <w:suppressLineNumbers/>
    </w:pPr>
  </w:style>
  <w:style w:type="paragraph" w:styleId="1123">
    <w:name w:val="Footer"/>
    <w:basedOn w:val="708"/>
  </w:style>
  <w:style w:type="paragraph" w:styleId="1124">
    <w:name w:val="toc 1"/>
    <w:basedOn w:val="708"/>
    <w:next w:val="708"/>
    <w:uiPriority w:val="39"/>
    <w:pPr>
      <w:ind w:firstLine="709"/>
      <w:spacing w:before="57" w:after="57"/>
    </w:pPr>
    <w:rPr>
      <w:rFonts w:cs="Times New Roman"/>
      <w:sz w:val="28"/>
    </w:rPr>
  </w:style>
  <w:style w:type="paragraph" w:styleId="1125">
    <w:name w:val="toc 2"/>
    <w:basedOn w:val="708"/>
    <w:next w:val="708"/>
    <w:pPr>
      <w:ind w:left="220" w:firstLine="709"/>
      <w:spacing w:after="100"/>
    </w:pPr>
  </w:style>
  <w:style w:type="paragraph" w:styleId="1126">
    <w:name w:val="toc 3"/>
    <w:basedOn w:val="708"/>
    <w:next w:val="708"/>
    <w:pPr>
      <w:ind w:left="440" w:firstLine="709"/>
      <w:spacing w:after="100"/>
    </w:pPr>
  </w:style>
  <w:style w:type="paragraph" w:styleId="1127">
    <w:name w:val="toc 4"/>
    <w:basedOn w:val="708"/>
    <w:next w:val="708"/>
    <w:pPr>
      <w:ind w:left="660" w:firstLine="0"/>
      <w:jc w:val="left"/>
      <w:spacing w:after="100" w:line="276" w:lineRule="auto"/>
    </w:pPr>
    <w:rPr>
      <w:rFonts w:eastAsia="Times New Roman"/>
    </w:rPr>
  </w:style>
  <w:style w:type="paragraph" w:styleId="1128">
    <w:name w:val="toc 5"/>
    <w:basedOn w:val="708"/>
    <w:next w:val="708"/>
    <w:pPr>
      <w:ind w:left="880" w:firstLine="0"/>
      <w:jc w:val="left"/>
      <w:spacing w:after="100" w:line="276" w:lineRule="auto"/>
    </w:pPr>
    <w:rPr>
      <w:rFonts w:eastAsia="Times New Roman"/>
    </w:rPr>
  </w:style>
  <w:style w:type="paragraph" w:styleId="1129">
    <w:name w:val="toc 6"/>
    <w:basedOn w:val="708"/>
    <w:next w:val="708"/>
    <w:pPr>
      <w:ind w:left="1100" w:firstLine="0"/>
      <w:jc w:val="left"/>
      <w:spacing w:after="100" w:line="276" w:lineRule="auto"/>
    </w:pPr>
    <w:rPr>
      <w:rFonts w:eastAsia="Times New Roman"/>
    </w:rPr>
  </w:style>
  <w:style w:type="paragraph" w:styleId="1130">
    <w:name w:val="toc 7"/>
    <w:basedOn w:val="708"/>
    <w:next w:val="708"/>
    <w:pPr>
      <w:ind w:left="1320" w:firstLine="0"/>
      <w:jc w:val="left"/>
      <w:spacing w:after="100" w:line="276" w:lineRule="auto"/>
    </w:pPr>
    <w:rPr>
      <w:rFonts w:eastAsia="Times New Roman"/>
    </w:rPr>
  </w:style>
  <w:style w:type="paragraph" w:styleId="1131">
    <w:name w:val="toc 8"/>
    <w:basedOn w:val="708"/>
    <w:next w:val="708"/>
    <w:pPr>
      <w:ind w:left="1540" w:firstLine="0"/>
      <w:jc w:val="left"/>
      <w:spacing w:after="100" w:line="276" w:lineRule="auto"/>
    </w:pPr>
    <w:rPr>
      <w:rFonts w:eastAsia="Times New Roman"/>
    </w:rPr>
  </w:style>
  <w:style w:type="paragraph" w:styleId="1132">
    <w:name w:val="toc 9"/>
    <w:basedOn w:val="708"/>
    <w:next w:val="708"/>
    <w:pPr>
      <w:ind w:left="1760" w:firstLine="0"/>
      <w:jc w:val="left"/>
      <w:spacing w:after="100" w:line="276" w:lineRule="auto"/>
    </w:pPr>
    <w:rPr>
      <w:rFonts w:eastAsia="Times New Roman"/>
    </w:rPr>
  </w:style>
  <w:style w:type="paragraph" w:styleId="1133">
    <w:name w:val="Body Text Indent"/>
    <w:basedOn w:val="708"/>
    <w:pPr>
      <w:ind w:left="283" w:firstLine="709"/>
      <w:spacing w:after="120"/>
    </w:pPr>
  </w:style>
  <w:style w:type="paragraph" w:styleId="1134">
    <w:name w:val="Subtitle"/>
    <w:basedOn w:val="708"/>
    <w:next w:val="1116"/>
    <w:qFormat/>
    <w:pPr>
      <w:ind w:firstLine="0"/>
      <w:jc w:val="center"/>
    </w:pPr>
    <w:rPr>
      <w:rFonts w:ascii="Cambria" w:hAnsi="Cambria" w:eastAsia="Times New Roman" w:cs="Cambria"/>
      <w:szCs w:val="20"/>
    </w:rPr>
  </w:style>
  <w:style w:type="paragraph" w:styleId="1135">
    <w:name w:val="footnote text"/>
    <w:basedOn w:val="708"/>
    <w:pPr>
      <w:ind w:firstLine="0"/>
      <w:spacing w:after="300" w:line="212" w:lineRule="exact"/>
      <w:shd w:val="clear" w:color="auto" w:fill="ffffff"/>
    </w:pPr>
    <w:rPr>
      <w:sz w:val="18"/>
      <w:szCs w:val="18"/>
    </w:rPr>
  </w:style>
  <w:style w:type="paragraph" w:styleId="1136" w:customStyle="1">
    <w:name w:val="Содержимое таблицы"/>
    <w:basedOn w:val="708"/>
    <w:qFormat/>
    <w:pPr>
      <w:ind w:left="28" w:firstLine="0"/>
      <w:jc w:val="left"/>
      <w:suppressLineNumbers/>
    </w:pPr>
  </w:style>
  <w:style w:type="paragraph" w:styleId="1137" w:customStyle="1">
    <w:name w:val="Заголовок таблицы"/>
    <w:basedOn w:val="1136"/>
    <w:qFormat/>
    <w:pPr>
      <w:jc w:val="center"/>
    </w:pPr>
    <w:rPr>
      <w:b/>
      <w:bCs/>
    </w:rPr>
  </w:style>
  <w:style w:type="paragraph" w:styleId="1138" w:customStyle="1">
    <w:name w:val="Содержимое врезки1"/>
    <w:basedOn w:val="708"/>
    <w:qFormat/>
    <w:pPr>
      <w:ind w:firstLine="0"/>
      <w:jc w:val="center"/>
    </w:pPr>
  </w:style>
  <w:style w:type="paragraph" w:styleId="1139" w:customStyle="1">
    <w:name w:val="Верхний колонтитул слева"/>
    <w:basedOn w:val="1122"/>
    <w:qFormat/>
    <w:pPr>
      <w:tabs>
        <w:tab w:val="center" w:pos="4677" w:leader="none"/>
        <w:tab w:val="right" w:pos="9354" w:leader="none"/>
      </w:tabs>
    </w:pPr>
  </w:style>
  <w:style w:type="paragraph" w:styleId="1140" w:customStyle="1">
    <w:name w:val="Заголовок 10"/>
    <w:basedOn w:val="1115"/>
    <w:next w:val="1116"/>
    <w:qFormat/>
    <w:pPr>
      <w:spacing w:before="60" w:after="60"/>
    </w:pPr>
    <w:rPr>
      <w:b/>
      <w:bCs/>
      <w:sz w:val="21"/>
      <w:szCs w:val="21"/>
    </w:rPr>
  </w:style>
  <w:style w:type="paragraph" w:styleId="1141">
    <w:name w:val="envelope address"/>
    <w:basedOn w:val="708"/>
    <w:pPr>
      <w:spacing w:after="60"/>
      <w:suppressLineNumbers/>
    </w:pPr>
  </w:style>
  <w:style w:type="paragraph" w:styleId="1142" w:customStyle="1">
    <w:name w:val="Библиография 1"/>
    <w:basedOn w:val="1119"/>
    <w:qFormat/>
    <w:pPr>
      <w:tabs>
        <w:tab w:val="right" w:pos="9921" w:leader="dot"/>
      </w:tabs>
    </w:pPr>
  </w:style>
  <w:style w:type="paragraph" w:styleId="1143" w:customStyle="1">
    <w:name w:val="Табличный_боковик_11"/>
    <w:qFormat/>
    <w:rPr>
      <w:rFonts w:ascii="Times New Roman" w:hAnsi="Times New Roman" w:eastAsia="Times New Roman" w:cs="Times New Roman"/>
      <w:sz w:val="22"/>
      <w:lang w:bidi="ar-SA"/>
    </w:rPr>
  </w:style>
  <w:style w:type="paragraph" w:styleId="1144" w:customStyle="1">
    <w:name w:val="Обычная таблица1"/>
    <w:qFormat/>
    <w:rPr>
      <w:rFonts w:ascii="Times New Roman" w:hAnsi="Times New Roman" w:eastAsia="Times New Roman" w:cs="Liberation Serif"/>
      <w:szCs w:val="20"/>
      <w:lang w:eastAsia="ar-SA"/>
    </w:rPr>
  </w:style>
  <w:style w:type="paragraph" w:styleId="1145" w:customStyle="1">
    <w:name w:val="Standard"/>
    <w:basedOn w:val="708"/>
    <w:qFormat/>
    <w:pPr>
      <w:ind w:firstLine="709"/>
      <w:spacing w:line="360" w:lineRule="auto"/>
    </w:pPr>
    <w:rPr>
      <w:rFonts w:ascii="Calibri" w:hAnsi="Calibri" w:eastAsia="Times New Roman"/>
      <w:color w:val="000000"/>
      <w:sz w:val="22"/>
      <w:szCs w:val="20"/>
    </w:rPr>
  </w:style>
  <w:style w:type="paragraph" w:styleId="1146" w:customStyle="1">
    <w:name w:val="western"/>
    <w:basedOn w:val="708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  <w:lang w:bidi="hi-IN"/>
    </w:rPr>
  </w:style>
  <w:style w:type="paragraph" w:styleId="1147" w:customStyle="1">
    <w:name w:val="Абзац"/>
    <w:basedOn w:val="708"/>
    <w:qFormat/>
    <w:pPr>
      <w:spacing w:before="120" w:after="60"/>
    </w:pPr>
    <w:rPr>
      <w:rFonts w:ascii="Calibri" w:hAnsi="Calibri"/>
    </w:rPr>
  </w:style>
  <w:style w:type="paragraph" w:styleId="1148" w:customStyle="1">
    <w:name w:val="ConsCell"/>
    <w:qFormat/>
    <w:pPr>
      <w:widowControl w:val="off"/>
    </w:pPr>
    <w:rPr>
      <w:rFonts w:ascii="Arial" w:hAnsi="Arial" w:eastAsia="Arial" w:cs="Arial"/>
      <w:szCs w:val="20"/>
      <w:lang w:bidi="ar-SA"/>
    </w:rPr>
  </w:style>
  <w:style w:type="paragraph" w:styleId="1149" w:customStyle="1">
    <w:name w:val="Main"/>
    <w:basedOn w:val="708"/>
    <w:qFormat/>
    <w:rPr>
      <w:rFonts w:cs="Times New Roman"/>
      <w:sz w:val="28"/>
      <w:szCs w:val="28"/>
    </w:rPr>
  </w:style>
  <w:style w:type="paragraph" w:styleId="1150" w:customStyle="1">
    <w:name w:val="Default"/>
    <w:qFormat/>
    <w:rPr>
      <w:rFonts w:ascii="Arial" w:hAnsi="Arial" w:eastAsia="0" w:cs="Arial"/>
      <w:color w:val="000000"/>
      <w:sz w:val="24"/>
      <w:lang w:eastAsia="en-US"/>
    </w:rPr>
  </w:style>
  <w:style w:type="paragraph" w:styleId="1151" w:customStyle="1">
    <w:name w:val="Основной шрифт абзаца1"/>
    <w:qFormat/>
    <w:rPr>
      <w:rFonts w:ascii="Times New Roman" w:hAnsi="Times New Roman" w:cs="Arial"/>
      <w:color w:val="000000"/>
      <w:sz w:val="24"/>
      <w:szCs w:val="20"/>
    </w:rPr>
  </w:style>
  <w:style w:type="paragraph" w:styleId="1152" w:customStyle="1">
    <w:name w:val="Содержимое врезки"/>
    <w:basedOn w:val="708"/>
    <w:qFormat/>
  </w:style>
  <w:style w:type="paragraph" w:styleId="1153" w:customStyle="1">
    <w:name w:val="Прижатый влево"/>
    <w:basedOn w:val="708"/>
    <w:qFormat/>
    <w:pPr>
      <w:widowControl w:val="off"/>
    </w:pPr>
    <w:rPr>
      <w:rFonts w:ascii="Times New Roman CYR" w:hAnsi="Times New Roman CYR" w:eastAsia="Times New Roman" w:cs="Times New Roman CYR"/>
      <w:szCs w:val="24"/>
      <w:lang w:eastAsia="ru-RU"/>
    </w:rPr>
  </w:style>
  <w:style w:type="paragraph" w:styleId="1154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numbering" w:styleId="1155" w:customStyle="1">
    <w:name w:val="WW8Num1"/>
    <w:qFormat/>
  </w:style>
  <w:style w:type="numbering" w:styleId="1156" w:customStyle="1">
    <w:name w:val="WW8Num2"/>
    <w:qFormat/>
  </w:style>
  <w:style w:type="numbering" w:styleId="1157" w:customStyle="1">
    <w:name w:val="WW8Num3"/>
    <w:qFormat/>
  </w:style>
  <w:style w:type="numbering" w:styleId="1158" w:customStyle="1">
    <w:name w:val="WW8Num4"/>
    <w:qFormat/>
  </w:style>
  <w:style w:type="paragraph" w:styleId="1159">
    <w:name w:val="Balloon Text"/>
    <w:basedOn w:val="708"/>
    <w:link w:val="1160"/>
    <w:uiPriority w:val="99"/>
    <w:semiHidden/>
    <w:unhideWhenUsed/>
    <w:rPr>
      <w:rFonts w:ascii="Tahoma" w:hAnsi="Tahoma" w:cs="Tahoma"/>
      <w:sz w:val="16"/>
      <w:szCs w:val="16"/>
    </w:rPr>
  </w:style>
  <w:style w:type="character" w:styleId="1160" w:customStyle="1">
    <w:name w:val="Текст выноски Знак"/>
    <w:basedOn w:val="718"/>
    <w:link w:val="1159"/>
    <w:uiPriority w:val="99"/>
    <w:semiHidden/>
    <w:rPr>
      <w:rFonts w:ascii="Tahoma" w:hAnsi="Tahoma" w:eastAsia="Calibri" w:cs="Tahoma"/>
      <w:sz w:val="16"/>
      <w:szCs w:val="16"/>
      <w:lang w:bidi="ar-SA"/>
    </w:rPr>
  </w:style>
  <w:style w:type="character" w:styleId="1161">
    <w:name w:val="Hyperlink"/>
    <w:basedOn w:val="718"/>
    <w:uiPriority w:val="99"/>
    <w:unhideWhenUsed/>
    <w:rPr>
      <w:color w:val="0000ee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77365&amp;dst=100138" TargetMode="External"/><Relationship Id="rId16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hyperlink" Target="https://login.consultant.ru/link/?req=doc&amp;base=LAW&amp;n=477365&amp;dst=100138" TargetMode="External"/><Relationship Id="rId18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hyperlink" Target="https://login.consultant.ru/link/?req=doc&amp;base=LAW&amp;n=6884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4021.00.65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dc:language>ru-RU</dc:language>
  <cp:revision>672</cp:revision>
  <dcterms:created xsi:type="dcterms:W3CDTF">2022-08-11T09:17:00Z</dcterms:created>
  <dcterms:modified xsi:type="dcterms:W3CDTF">2025-09-17T09:32:16Z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