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firstLine="0"/>
      </w:pPr>
      <w:r>
        <w:t xml:space="preserve">Утверждены</w:t>
      </w:r>
      <w:r/>
    </w:p>
    <w:p>
      <w:pPr>
        <w:ind w:left="5670" w:firstLine="0"/>
        <w:jc w:val="left"/>
      </w:pPr>
      <w:r>
        <w:rPr>
          <w:szCs w:val="24"/>
        </w:rPr>
        <w:t xml:space="preserve">постановлением главного управления</w:t>
      </w:r>
      <w:r/>
    </w:p>
    <w:p>
      <w:pPr>
        <w:ind w:left="5670" w:firstLine="0"/>
        <w:jc w:val="left"/>
      </w:pPr>
      <w:r>
        <w:rPr>
          <w:szCs w:val="24"/>
        </w:rPr>
        <w:t xml:space="preserve">архитектуры и градостроительства</w:t>
      </w:r>
      <w:r/>
    </w:p>
    <w:p>
      <w:pPr>
        <w:ind w:left="5670" w:firstLine="0"/>
        <w:jc w:val="left"/>
        <w:rPr>
          <w14:ligatures w14:val="none"/>
        </w:rPr>
      </w:pPr>
      <w:r>
        <w:t xml:space="preserve">Рязанской области</w:t>
      </w:r>
      <w:r/>
    </w:p>
    <w:p>
      <w:pPr>
        <w:ind w:left="5670" w:firstLine="0"/>
        <w:jc w:val="left"/>
      </w:pPr>
      <w:r>
        <w:t xml:space="preserve">от 16 сентября 2025 г. № 794-п</w:t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270"/>
        <w:ind w:firstLine="0"/>
        <w:jc w:val="center"/>
      </w:pPr>
      <w:r>
        <w:rPr>
          <w:sz w:val="32"/>
          <w:szCs w:val="32"/>
        </w:rPr>
        <w:t xml:space="preserve">ПРАВИЛА ЗЕМЛЕПОЛЬЗОВАНИЯ И ЗАСТРОЙКИ</w:t>
      </w:r>
      <w:r/>
    </w:p>
    <w:p>
      <w:pPr>
        <w:pStyle w:val="1270"/>
        <w:ind w:firstLine="0"/>
        <w:jc w:val="center"/>
      </w:pPr>
      <w:r>
        <w:rPr>
          <w:rFonts w:eastAsia="Times New Roman" w:cs="Times New Roman"/>
          <w:sz w:val="32"/>
          <w:szCs w:val="32"/>
          <w:lang w:eastAsia="ar-SA"/>
        </w:rPr>
        <w:t xml:space="preserve">муниципального образования – </w:t>
      </w:r>
      <w:r>
        <w:rPr>
          <w:rFonts w:eastAsia="Times New Roman" w:cs="Times New Roman"/>
          <w:sz w:val="32"/>
          <w:szCs w:val="32"/>
          <w:lang w:eastAsia="ar-SA"/>
        </w:rPr>
        <w:t xml:space="preserve">Касимовский</w:t>
      </w:r>
      <w:r>
        <w:rPr>
          <w:rFonts w:eastAsia="Times New Roman" w:cs="Times New Roman"/>
          <w:sz w:val="32"/>
          <w:szCs w:val="32"/>
          <w:lang w:eastAsia="ar-SA"/>
        </w:rPr>
        <w:t xml:space="preserve"> муниципальный округ Рязанской области применительно к территории </w:t>
      </w:r>
      <w:r>
        <w:rPr>
          <w:sz w:val="32"/>
          <w:szCs w:val="32"/>
        </w:rPr>
        <w:t xml:space="preserve">Булгаковского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сельского округа </w:t>
      </w:r>
      <w:r>
        <w:rPr>
          <w:rFonts w:eastAsia="Times New Roman" w:cs="Times New Roman"/>
          <w:sz w:val="32"/>
          <w:szCs w:val="32"/>
          <w:lang w:eastAsia="ar-SA"/>
        </w:rPr>
        <w:t xml:space="preserve">Касимовского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района Рязанской области</w:t>
      </w:r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270"/>
      </w:pPr>
      <w:r>
        <w:t xml:space="preserve">Содержание</w:t>
      </w:r>
      <w:r/>
    </w:p>
    <w:sdt>
      <w:sdtPr>
        <w15:appearance w15:val="boundingBox"/>
        <w:id w:val="1007954814"/>
        <w:docPartObj>
          <w:docPartGallery w:val="Table of Contents"/>
          <w:docPartUnique w:val="true"/>
        </w:docPartObj>
        <w:rPr/>
      </w:sdtPr>
      <w:sdtContent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>
            <w:fldChar w:fldCharType="begin"/>
          </w:r>
          <w:r>
            <w:instrText xml:space="preserve">TOC \o "1-3" \h</w:instrText>
          </w:r>
          <w:r>
            <w:fldChar w:fldCharType="separate"/>
          </w:r>
          <w:hyperlink w:tooltip="#_Toc208237192" w:anchor="_Toc208237192" w:history="1">
            <w:r>
              <w:rPr>
                <w:rStyle w:val="1314"/>
                <w:rFonts w:eastAsia="Times New Roman"/>
                <w:spacing w:val="2"/>
                <w:lang w:eastAsia="ru-RU"/>
              </w:rPr>
              <w:t xml:space="preserve"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_Toc208237192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3" w:anchor="_Toc208237193" w:history="1">
            <w:r>
              <w:rPr>
                <w:rStyle w:val="1314"/>
              </w:rPr>
              <w:t xml:space="preserve"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_Toc208237193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4" w:anchor="_Toc208237194" w:history="1">
            <w:r>
              <w:rPr>
                <w:rStyle w:val="1314"/>
              </w:rPr>
              <w:t xml:space="preserve"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_Toc208237194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5" w:anchor="_Toc208237195" w:history="1">
            <w:r>
              <w:rPr>
                <w:rStyle w:val="1314"/>
              </w:rPr>
      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_Toc208237195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6" w:anchor="_Toc208237196" w:history="1">
            <w:r>
              <w:rPr>
                <w:rStyle w:val="1314"/>
              </w:rPr>
              <w:t xml:space="preserve"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_Toc208237196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7" w:anchor="_Toc208237197" w:history="1">
            <w:r>
              <w:rPr>
                <w:rStyle w:val="1314"/>
              </w:rPr>
              <w:t xml:space="preserve"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_Toc208237197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8" w:anchor="_Toc208237198" w:history="1">
            <w:r>
              <w:rPr>
                <w:rStyle w:val="1314"/>
              </w:rPr>
              <w:t xml:space="preserve"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_Toc208237198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199" w:anchor="_Toc208237199" w:history="1">
            <w:r>
              <w:rPr>
                <w:rStyle w:val="1314"/>
              </w:rPr>
              <w:t xml:space="preserve"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_Toc208237199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0" w:anchor="_Toc208237200" w:history="1">
            <w:r>
              <w:rPr>
                <w:rStyle w:val="1314"/>
              </w:rPr>
              <w:t xml:space="preserve"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_Toc208237200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1" w:anchor="_Toc208237201" w:history="1">
            <w:r>
              <w:rPr>
                <w:rStyle w:val="1314"/>
              </w:rPr>
              <w:t xml:space="preserve"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_Toc208237201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2" w:anchor="_Toc208237202" w:history="1">
            <w:r>
              <w:rPr>
                <w:rStyle w:val="1314"/>
              </w:rPr>
              <w:t xml:space="preserve"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_Toc208237202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3" w:anchor="_Toc208237203" w:history="1">
            <w:r>
              <w:rPr>
                <w:rStyle w:val="1314"/>
              </w:rPr>
              <w:t xml:space="preserve">Статья 10. Перечень территориальных зон, установленных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_Toc208237203 \h </w:instrText>
            </w:r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4" w:anchor="_Toc208237204" w:history="1">
            <w:r>
              <w:rPr>
                <w:rStyle w:val="1314"/>
              </w:rPr>
              <w:t xml:space="preserve">Статья 11.</w:t>
            </w:r>
            <w:r>
              <w:rPr>
                <w:rStyle w:val="1314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_Toc208237204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5" w:anchor="_Toc208237205" w:history="1">
            <w:r>
              <w:rPr>
                <w:rStyle w:val="1314"/>
              </w:rPr>
              <w:t xml:space="preserve">Статья 11.1. </w:t>
            </w:r>
            <w:r>
              <w:rPr>
                <w:rStyle w:val="1314"/>
                <w:rFonts w:eastAsia="Times New Roman"/>
                <w:lang w:eastAsia="ru-RU"/>
              </w:rPr>
              <w:t xml:space="preserve">Жилая зона</w:t>
            </w:r>
            <w:r>
              <w:rPr>
                <w:rStyle w:val="1314"/>
              </w:rPr>
              <w:t xml:space="preserve"> (1)</w:t>
            </w:r>
            <w:r>
              <w:tab/>
            </w:r>
            <w:r>
              <w:fldChar w:fldCharType="begin"/>
            </w:r>
            <w:r>
              <w:instrText xml:space="preserve"> PAGEREF _Toc208237205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6" w:anchor="_Toc208237206" w:history="1">
            <w:r>
              <w:rPr>
                <w:rStyle w:val="1314"/>
              </w:rPr>
              <w:t xml:space="preserve">Статья 11.2.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PAGEREF _Toc208237206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7" w:anchor="_Toc208237207" w:history="1">
            <w:r>
              <w:rPr>
                <w:rStyle w:val="1314"/>
              </w:rPr>
              <w:t xml:space="preserve">Статья 11.3. Производственная зона (3.1)</w:t>
            </w:r>
            <w:r>
              <w:tab/>
            </w:r>
            <w:r>
              <w:fldChar w:fldCharType="begin"/>
            </w:r>
            <w:r>
              <w:instrText xml:space="preserve"> PAGEREF _Toc208237207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8" w:anchor="_Toc208237208" w:history="1">
            <w:r>
              <w:rPr>
                <w:rStyle w:val="1314"/>
                <w:rFonts w:eastAsia="Times New Roman"/>
                <w:lang w:eastAsia="ru-RU"/>
              </w:rPr>
              <w:t xml:space="preserve">Статья 11.4.</w:t>
            </w:r>
            <w:r>
              <w:rPr>
                <w:rStyle w:val="1314"/>
              </w:rPr>
              <w:t xml:space="preserve"> Коммунально-складская зона в границах населенных пунктов (3.5)</w:t>
            </w:r>
            <w:r>
              <w:tab/>
            </w:r>
            <w:r>
              <w:fldChar w:fldCharType="begin"/>
            </w:r>
            <w:r>
              <w:instrText xml:space="preserve"> PAGEREF _Toc208237208 \h </w:instrText>
            </w:r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09" w:anchor="_Toc208237209" w:history="1">
            <w:r>
              <w:rPr>
                <w:rStyle w:val="1314"/>
                <w:rFonts w:eastAsia="Times New Roman"/>
              </w:rPr>
              <w:t xml:space="preserve">Статья 11.5. </w:t>
            </w:r>
            <w:r>
              <w:rPr>
                <w:rStyle w:val="1314"/>
              </w:rPr>
              <w:t xml:space="preserve"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_Toc208237209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0" w:anchor="_Toc208237210" w:history="1">
            <w:r>
              <w:rPr>
                <w:rStyle w:val="1314"/>
              </w:rPr>
              <w:t xml:space="preserve">Статья 11.6. Иная зона сельскохозяйственного назначения (4.5)</w:t>
            </w:r>
            <w:r>
              <w:tab/>
            </w:r>
            <w:r>
              <w:fldChar w:fldCharType="begin"/>
            </w:r>
            <w:r>
              <w:instrText xml:space="preserve"> PAGEREF _Toc208237210 \h </w:instrText>
            </w:r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1" w:anchor="_Toc208237211" w:history="1">
            <w:r>
              <w:rPr>
                <w:rStyle w:val="1314"/>
              </w:rPr>
              <w:t xml:space="preserve">Статья 11.7. Зона озелененных территорий специального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_Toc208237211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2" w:anchor="_Toc208237212" w:history="1">
            <w:r>
              <w:rPr>
                <w:rStyle w:val="1314"/>
              </w:rPr>
              <w:t xml:space="preserve">Статья 11.8.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_Toc208237212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3" w:anchor="_Toc208237213" w:history="1">
            <w:r>
              <w:rPr>
                <w:rStyle w:val="1314"/>
              </w:rPr>
              <w:t xml:space="preserve">Статья 11.9. Зона складирования и захоронения отходов (6.3)</w:t>
            </w:r>
            <w:r>
              <w:tab/>
            </w:r>
            <w:r>
              <w:fldChar w:fldCharType="begin"/>
            </w:r>
            <w:r>
              <w:instrText xml:space="preserve"> PAGEREF _Toc208237213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4" w:anchor="_Toc208237214" w:history="1">
            <w:r>
              <w:rPr>
                <w:rStyle w:val="1314"/>
              </w:rPr>
              <w:t xml:space="preserve"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 xml:space="preserve"> PAGEREF _Toc208237214 \h </w:instrText>
            </w:r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5" w:anchor="_Toc208237215" w:history="1">
            <w:r>
              <w:rPr>
                <w:rStyle w:val="1314"/>
              </w:rPr>
              <w:t xml:space="preserve">Статья 13.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_Toc208237215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6" w:anchor="_Toc208237216" w:history="1">
            <w:r>
              <w:rPr>
                <w:rStyle w:val="1314"/>
              </w:rPr>
              <w:t xml:space="preserve">Статья 14</w:t>
            </w:r>
            <w:r>
              <w:rPr>
                <w:rStyle w:val="1314"/>
              </w:rPr>
      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>
              <w:tab/>
            </w:r>
            <w:r>
              <w:fldChar w:fldCharType="begin"/>
            </w:r>
            <w:r>
              <w:instrText xml:space="preserve"> PAGEREF _Toc208237216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7" w:anchor="_Toc208237217" w:history="1">
            <w:r>
              <w:rPr>
                <w:rStyle w:val="1314"/>
              </w:rPr>
              <w:t xml:space="preserve"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_Toc208237217 \h </w:instrText>
            </w:r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8" w:anchor="_Toc208237218" w:history="1">
            <w:r>
              <w:rPr>
                <w:rStyle w:val="1314"/>
              </w:rPr>
              <w:t xml:space="preserve"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_Toc208237218 \h </w:instrText>
            </w:r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19" w:anchor="_Toc208237219" w:history="1">
            <w:r>
              <w:rPr>
                <w:rStyle w:val="1314"/>
              </w:rPr>
              <w:t xml:space="preserve">Статья 15.2. Водоохранные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_Toc208237219 \h </w:instrText>
            </w:r>
            <w:r>
              <w:fldChar w:fldCharType="separate"/>
            </w:r>
            <w:r>
              <w:t xml:space="preserve">26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0" w:anchor="_Toc208237220" w:history="1">
            <w:r>
              <w:rPr>
                <w:rStyle w:val="1314"/>
              </w:rPr>
              <w:t xml:space="preserve"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_Toc208237220 \h </w:instrText>
            </w:r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1" w:anchor="_Toc208237221" w:history="1">
            <w:r>
              <w:rPr>
                <w:rStyle w:val="1314"/>
              </w:rPr>
              <w:t xml:space="preserve">Статья 15.4. Зона санитарной охраны источника водоснабжения</w:t>
            </w:r>
            <w:r>
              <w:tab/>
            </w:r>
            <w:r>
              <w:fldChar w:fldCharType="begin"/>
            </w:r>
            <w:r>
              <w:instrText xml:space="preserve"> PAGEREF _Toc208237221 \h </w:instrText>
            </w:r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2" w:anchor="_Toc208237222" w:history="1">
            <w:r>
              <w:rPr>
                <w:rStyle w:val="1314"/>
              </w:rPr>
              <w:t xml:space="preserve">Статья 15.5. </w:t>
            </w:r>
            <w:r>
              <w:rPr>
                <w:rStyle w:val="1314"/>
                <w:rFonts w:eastAsia="Times New Roman"/>
                <w:lang w:eastAsia="ru-RU"/>
              </w:rPr>
              <w:t xml:space="preserve">Придорожные полосы автомобильных дорог</w:t>
            </w:r>
            <w:r>
              <w:tab/>
            </w:r>
            <w:r>
              <w:fldChar w:fldCharType="begin"/>
            </w:r>
            <w:r>
              <w:instrText xml:space="preserve"> PAGEREF _Toc208237222 \h </w:instrText>
            </w:r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3" w:anchor="_Toc208237223" w:history="1">
            <w:r>
              <w:rPr>
                <w:rStyle w:val="1314"/>
              </w:rPr>
              <w:t xml:space="preserve">Статья 15.6. Охранная зона пункта государственной геодезической сети</w:t>
            </w:r>
            <w:r>
              <w:tab/>
            </w:r>
            <w:r>
              <w:fldChar w:fldCharType="begin"/>
            </w:r>
            <w:r>
              <w:instrText xml:space="preserve"> PAGEREF _Toc208237223 \h </w:instrText>
            </w:r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4" w:anchor="_Toc208237224" w:history="1">
            <w:r>
              <w:rPr>
                <w:rStyle w:val="1314"/>
              </w:rPr>
              <w:t xml:space="preserve">Статья 15.7. Зона минимальных расстояний до магистральных или промышленных трубопроводов</w:t>
            </w:r>
            <w:r>
              <w:tab/>
            </w:r>
            <w:r>
              <w:fldChar w:fldCharType="begin"/>
            </w:r>
            <w:r>
              <w:instrText xml:space="preserve"> PAGEREF _Toc208237224 \h </w:instrText>
            </w:r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5" w:anchor="_Toc208237225" w:history="1">
            <w:r>
              <w:rPr>
                <w:rStyle w:val="1314"/>
              </w:rPr>
              <w:t xml:space="preserve">Статья 16. Особо охраняемые природные территории</w:t>
            </w:r>
            <w:r>
              <w:tab/>
            </w:r>
            <w:r>
              <w:fldChar w:fldCharType="begin"/>
            </w:r>
            <w:r>
              <w:instrText xml:space="preserve"> PAGEREF _Toc208237225 \h </w:instrText>
            </w:r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237226" w:anchor="_Toc208237226" w:history="1">
            <w:r>
              <w:rPr>
                <w:rStyle w:val="1314"/>
              </w:rPr>
              <w:t xml:space="preserve">Статья 17.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_Toc208237226 \h </w:instrText>
            </w:r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/>
        </w:p>
        <w:p>
          <w:pPr>
            <w:pStyle w:val="1278"/>
            <w:tabs>
              <w:tab w:val="right" w:pos="9921" w:leader="dot"/>
            </w:tabs>
          </w:pPr>
          <w:r>
            <w:fldChar w:fldCharType="end"/>
          </w:r>
          <w:r/>
        </w:p>
      </w:sdtContent>
    </w:sdt>
    <w:p>
      <w:pPr>
        <w:pStyle w:val="1270"/>
        <w:ind w:firstLine="0"/>
      </w:pPr>
      <w:r/>
      <w:r/>
    </w:p>
    <w:p>
      <w:pPr>
        <w:pStyle w:val="1270"/>
        <w:ind w:firstLine="0"/>
      </w:pPr>
      <w:r>
        <w:br w:type="page" w:clear="all"/>
      </w:r>
      <w:r/>
    </w:p>
    <w:p>
      <w:pPr>
        <w:pStyle w:val="863"/>
        <w:contextualSpacing/>
      </w:pPr>
      <w:r/>
      <w:bookmarkStart w:id="0" w:name="_Toc1"/>
      <w:r/>
      <w:bookmarkStart w:id="1" w:name="_Toc208237192"/>
      <w:r>
        <w:rPr>
          <w:rFonts w:eastAsia="Times New Roman" w:cs="Times New Roman"/>
          <w:spacing w:val="2"/>
          <w:lang w:eastAsia="ru-RU"/>
        </w:rPr>
        <w:t xml:space="preserve">Раздел 1. Порядок применения и внесения изменений в правила землепользования и застройки</w:t>
      </w:r>
      <w:bookmarkEnd w:id="0"/>
      <w:r/>
      <w:bookmarkEnd w:id="1"/>
      <w:r/>
      <w:r/>
    </w:p>
    <w:p>
      <w:pPr>
        <w:pStyle w:val="1270"/>
        <w:contextualSpacing/>
        <w:widowControl w:val="off"/>
      </w:pPr>
      <w:r/>
      <w:r/>
    </w:p>
    <w:p>
      <w:pPr>
        <w:pStyle w:val="863"/>
      </w:pPr>
      <w:r/>
      <w:bookmarkStart w:id="2" w:name="_Toc2"/>
      <w:r/>
      <w:bookmarkStart w:id="3" w:name="_Toc208237193"/>
      <w:r>
        <w:t xml:space="preserve">Статья 1. Основные понятия, используемые в правилах землепользования и застройки</w:t>
      </w:r>
      <w:bookmarkEnd w:id="2"/>
      <w:r/>
      <w:bookmarkEnd w:id="3"/>
      <w:r/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widowControl w:val="off"/>
      </w:pPr>
      <w:r>
        <w:rPr>
          <w:rFonts w:cs="Times New Roman"/>
        </w:rPr>
        <w:t xml:space="preserve">В настоящих правилах землепользования и застройки муниципального образования – </w:t>
      </w:r>
      <w:r>
        <w:rPr>
          <w:rFonts w:cs="Times New Roman"/>
          <w:szCs w:val="28"/>
        </w:rPr>
        <w:t xml:space="preserve">Касимовский</w:t>
      </w:r>
      <w:r>
        <w:rPr>
          <w:rFonts w:cs="Times New Roman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szCs w:val="28"/>
        </w:rPr>
        <w:t xml:space="preserve">Булгаковского</w:t>
      </w:r>
      <w:r>
        <w:rPr>
          <w:rFonts w:cs="Times New Roman"/>
          <w:szCs w:val="28"/>
        </w:rPr>
        <w:t xml:space="preserve"> сельского округа </w:t>
      </w:r>
      <w:r>
        <w:rPr>
          <w:rFonts w:cs="Times New Roman"/>
          <w:szCs w:val="28"/>
        </w:rPr>
        <w:t xml:space="preserve">Касимовского</w:t>
      </w:r>
      <w:r>
        <w:rPr>
          <w:rFonts w:cs="Times New Roman"/>
          <w:szCs w:val="28"/>
        </w:rPr>
        <w:t xml:space="preserve"> района Рязанской области</w:t>
      </w:r>
      <w:r>
        <w:rPr>
          <w:rFonts w:cs="Times New Roman"/>
          <w:szCs w:val="32"/>
        </w:rPr>
        <w:t xml:space="preserve">   </w:t>
      </w:r>
      <w:r>
        <w:rPr>
          <w:rFonts w:cs="Times New Roman"/>
        </w:rPr>
        <w:t xml:space="preserve">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  <w:r/>
    </w:p>
    <w:p>
      <w:pPr>
        <w:pStyle w:val="1270"/>
        <w:ind w:firstLine="567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863"/>
      </w:pPr>
      <w:r/>
      <w:bookmarkStart w:id="4" w:name="_Toc3"/>
      <w:r/>
      <w:bookmarkStart w:id="5" w:name="_Toc208237194"/>
      <w:r>
        <w:t xml:space="preserve">Статья 2. Положение о регулировании землепользования и застройки</w:t>
      </w:r>
      <w:bookmarkEnd w:id="4"/>
      <w:r/>
      <w:bookmarkEnd w:id="5"/>
      <w:r/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widowControl w:val="off"/>
      </w:pPr>
      <w:r>
        <w:t xml:space="preserve"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  <w:r/>
    </w:p>
    <w:p>
      <w:pPr>
        <w:pStyle w:val="1270"/>
        <w:widowControl w:val="off"/>
      </w:pPr>
      <w:r>
        <w:rPr>
          <w:rFonts w:eastAsia="Times New Roman" w:cs="Times New Roman"/>
          <w:color w:val="000000"/>
          <w:szCs w:val="28"/>
        </w:rPr>
        <w:t xml:space="preserve">2. </w:t>
      </w:r>
      <w:r>
        <w:rPr>
          <w:rFonts w:eastAsia="Times New Roman" w:cs="Times New Roman"/>
          <w:color w:val="000000"/>
          <w:szCs w:val="28"/>
        </w:rPr>
        <w:t xml:space="preserve">В соответствии с Законом Рязанской области от 28.12.2018 № 106-ОЗ «О перераспределении отде</w:t>
      </w:r>
      <w:r>
        <w:rPr>
          <w:rFonts w:eastAsia="Times New Roman" w:cs="Times New Roman"/>
          <w:color w:val="000000"/>
          <w:szCs w:val="28"/>
        </w:rPr>
        <w:t xml:space="preserve"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 xml:space="preserve"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 Рязанской области, уполномоченный в сфере градостроительной деятельности.</w:t>
      </w:r>
      <w:r/>
    </w:p>
    <w:p>
      <w:pPr>
        <w:pStyle w:val="1270"/>
        <w:widowControl w:val="off"/>
      </w:pPr>
      <w:r>
        <w:rPr>
          <w:rFonts w:eastAsia="Times New Roman" w:cs="Times New Roman"/>
          <w:color w:val="000000"/>
          <w:szCs w:val="28"/>
          <w:lang w:eastAsia="ar-SA"/>
        </w:rPr>
        <w:t xml:space="preserve"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  <w:r/>
    </w:p>
    <w:p>
      <w:pPr>
        <w:pStyle w:val="1270"/>
        <w:widowControl w:val="off"/>
      </w:pPr>
      <w:r/>
      <w:r/>
    </w:p>
    <w:p>
      <w:pPr>
        <w:pStyle w:val="863"/>
      </w:pPr>
      <w:r/>
      <w:bookmarkStart w:id="6" w:name="_Toc4"/>
      <w:r/>
      <w:bookmarkStart w:id="7" w:name="_Toc208237195"/>
      <w:r>
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6"/>
      <w:r/>
      <w:bookmarkEnd w:id="7"/>
      <w:r/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widowControl w:val="off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t xml:space="preserve"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  <w:r/>
    </w:p>
    <w:p>
      <w:pPr>
        <w:pStyle w:val="1270"/>
        <w:widowControl w:val="off"/>
      </w:pPr>
      <w:r>
        <w:t xml:space="preserve"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</w:t>
      </w:r>
      <w:r>
        <w:t xml:space="preserve">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/>
    </w:p>
    <w:p>
      <w:pPr>
        <w:pStyle w:val="1270"/>
        <w:widowControl w:val="off"/>
      </w:pPr>
      <w:r>
        <w:t xml:space="preserve">3. Решения об изменении одного вида разрешенного использования земельных участков и объектов капитального строи</w:t>
      </w:r>
      <w:r>
        <w:t xml:space="preserve">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  <w:r/>
    </w:p>
    <w:p>
      <w:pPr>
        <w:pStyle w:val="1270"/>
        <w:widowControl w:val="off"/>
      </w:pPr>
      <w:r>
        <w:t xml:space="preserve"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  <w:r/>
    </w:p>
    <w:p>
      <w:pPr>
        <w:pStyle w:val="1270"/>
        <w:widowControl w:val="off"/>
      </w:pPr>
      <w:r>
        <w:rPr>
          <w:rFonts w:cs="Times New Roman"/>
          <w:color w:val="000000"/>
        </w:rPr>
        <w:t xml:space="preserve">5. Физическое или юридическое лицо вправе оспорить в суде решение</w:t>
      </w:r>
      <w:r>
        <w:rPr>
          <w:rFonts w:cs="Times New Roman"/>
          <w:color w:val="000000"/>
        </w:rPr>
        <w:br/>
        <w:t xml:space="preserve"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  <w:color w:val="000000"/>
        </w:rPr>
        <w:br/>
        <w:t xml:space="preserve">в предоставлении такого разрешения.</w:t>
      </w:r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863"/>
      </w:pPr>
      <w:r/>
      <w:bookmarkStart w:id="8" w:name="_Toc5"/>
      <w:r/>
      <w:bookmarkStart w:id="9" w:name="_Toc208237196"/>
      <w:r>
        <w:t xml:space="preserve">Статья 4. Положение о подготовке документации по планировке  территории</w:t>
      </w:r>
      <w:bookmarkEnd w:id="8"/>
      <w:r/>
      <w:bookmarkEnd w:id="9"/>
      <w:r/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widowControl w:val="off"/>
      </w:pPr>
      <w:r>
        <w:t xml:space="preserve">1. В соответствии со статьей 41 Градостроительного </w:t>
      </w:r>
      <w:r>
        <w:t xml:space="preserve">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r>
        <w:t xml:space="preserve">границ зон планируемого размещения объектов капитального строительства</w:t>
      </w:r>
      <w:r>
        <w:t xml:space="preserve">.</w:t>
      </w:r>
      <w:r/>
    </w:p>
    <w:p>
      <w:pPr>
        <w:pStyle w:val="1270"/>
        <w:widowControl w:val="off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 xml:space="preserve"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270"/>
        <w:widowControl w:val="off"/>
      </w:pPr>
      <w:r>
        <w:rPr>
          <w:rFonts w:cs="Times New Roman"/>
          <w:color w:val="000000"/>
        </w:rPr>
        <w:t xml:space="preserve">3. В соответствии с постановлением Правительства Рязанской области</w:t>
      </w:r>
      <w:r>
        <w:rPr>
          <w:rFonts w:cs="Times New Roman"/>
          <w:color w:val="000000"/>
        </w:rPr>
        <w:br/>
        <w:t xml:space="preserve">от 06.</w:t>
      </w:r>
      <w:r>
        <w:rPr>
          <w:color w:val="000000"/>
        </w:rPr>
        <w:t xml:space="preserve">08.</w:t>
      </w:r>
      <w:r>
        <w:rPr>
          <w:rFonts w:cs="Times New Roman"/>
          <w:color w:val="000000"/>
        </w:rPr>
        <w:t xml:space="preserve">2008 № 153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</w:t>
      </w:r>
      <w:r>
        <w:rPr>
          <w:rFonts w:cs="Times New Roman"/>
          <w:color w:val="000000"/>
        </w:rPr>
        <w:t xml:space="preserve"> власти Рязанской области, </w:t>
      </w:r>
      <w:r>
        <w:rPr>
          <w:rFonts w:cs="Times New Roman"/>
          <w:color w:val="000000"/>
        </w:rPr>
        <w:t xml:space="preserve">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270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</w:pPr>
      <w:r/>
      <w:bookmarkStart w:id="10" w:name="_Toc6"/>
      <w:r/>
      <w:bookmarkStart w:id="11" w:name="_Toc208237197"/>
      <w:r>
        <w:t xml:space="preserve">Статья 5. Положение о проведении общественных обсуждений или публичных слушаний по вопросам землепользования и застройки</w:t>
      </w:r>
      <w:bookmarkEnd w:id="10"/>
      <w:r/>
      <w:bookmarkEnd w:id="11"/>
      <w:r/>
      <w:r/>
    </w:p>
    <w:p>
      <w:pPr>
        <w:pStyle w:val="1270"/>
        <w:widowControl w:val="off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widowControl w:val="off"/>
      </w:pPr>
      <w:r>
        <w:rPr>
          <w:rFonts w:eastAsia="Times New Roman" w:cs="Times New Roman"/>
          <w:color w:val="000000"/>
          <w:szCs w:val="28"/>
          <w:highlight w:val="white"/>
        </w:rPr>
        <w:t xml:space="preserve"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 xml:space="preserve">Градостроительным кодексом Российской Федерации.</w:t>
      </w:r>
      <w:r/>
    </w:p>
    <w:p>
      <w:pPr>
        <w:pStyle w:val="1270"/>
        <w:widowControl w:val="off"/>
      </w:pPr>
      <w:r>
        <w:t xml:space="preserve">2. </w:t>
      </w:r>
      <w:r>
        <w:t xml:space="preserve">Общественные обсуждения и публичн</w:t>
      </w:r>
      <w:r>
        <w:t xml:space="preserve">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</w:t>
      </w:r>
      <w:r>
        <w:t xml:space="preserve">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r>
        <w:t xml:space="preserve"> </w:t>
      </w:r>
      <w: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</w:t>
      </w:r>
      <w:r>
        <w:t xml:space="preserve">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r/>
    </w:p>
    <w:p>
      <w:pPr>
        <w:pStyle w:val="1270"/>
        <w:widowControl w:val="off"/>
      </w:pPr>
      <w:r>
        <w:t xml:space="preserve">3. Результаты общественных обсуждений и публичных слушаний носят рекомендательный характер.</w:t>
      </w:r>
      <w:r/>
    </w:p>
    <w:p>
      <w:pPr>
        <w:pStyle w:val="1270"/>
        <w:widowControl w:val="off"/>
      </w:pPr>
      <w:r>
        <w:t xml:space="preserve"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  <w:r/>
    </w:p>
    <w:p>
      <w:pPr>
        <w:pStyle w:val="1270"/>
        <w:widowControl w:val="off"/>
      </w:pPr>
      <w:r>
        <w:rPr>
          <w:rFonts w:eastAsia="Times New Roman" w:cs="Times New Roman"/>
          <w:szCs w:val="28"/>
          <w:lang w:eastAsia="hi-IN"/>
        </w:rPr>
        <w:t xml:space="preserve"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  <w:r/>
    </w:p>
    <w:p>
      <w:pPr>
        <w:pStyle w:val="1270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</w:pPr>
      <w:r/>
      <w:bookmarkStart w:id="12" w:name="_Toc208237198"/>
      <w:r>
        <w:rPr>
          <w:rFonts w:cs="Times New Roman"/>
        </w:rPr>
        <w:t xml:space="preserve">Статья 6. Положение о внесении изменений в правила землепользования и застройки</w:t>
      </w:r>
      <w:bookmarkEnd w:id="12"/>
      <w:r/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  <w:r/>
    </w:p>
    <w:p>
      <w:pPr>
        <w:pStyle w:val="1270"/>
      </w:pPr>
      <w:r>
        <w:rPr>
          <w:color w:val="000000"/>
        </w:rPr>
        <w:t xml:space="preserve">2. Основаниями для рассмотрения вопроса о внесении изменений в правила землепользования и застройки являются:</w:t>
      </w:r>
      <w:r/>
    </w:p>
    <w:p>
      <w:pPr>
        <w:pStyle w:val="1270"/>
      </w:pPr>
      <w:r>
        <w:rPr>
          <w:color w:val="000000"/>
        </w:rPr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color w:val="000000"/>
        </w:rPr>
        <w:t xml:space="preserve">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r/>
    </w:p>
    <w:p>
      <w:pPr>
        <w:pStyle w:val="1270"/>
      </w:pPr>
      <w:r>
        <w:rPr>
          <w:color w:val="000000"/>
        </w:rPr>
        <w:t xml:space="preserve">2) поступление предложений об изменении границ территориальных зон, изменении градостроительных регламентов;</w:t>
      </w:r>
      <w:r/>
    </w:p>
    <w:p>
      <w:pPr>
        <w:pStyle w:val="1270"/>
      </w:pPr>
      <w:r>
        <w:rPr>
          <w:color w:val="000000"/>
        </w:rPr>
        <w:t xml:space="preserve">3) несоответствие сведений о местоположении границ зон с особыми условиями использования территорий, территорий объектов</w:t>
      </w:r>
      <w:r>
        <w:rPr>
          <w:color w:val="000000"/>
        </w:rPr>
        <w:t xml:space="preserve">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  <w:r/>
    </w:p>
    <w:p>
      <w:pPr>
        <w:pStyle w:val="1270"/>
      </w:pPr>
      <w:r>
        <w:rPr>
          <w:color w:val="000000"/>
        </w:rPr>
        <w:t xml:space="preserve">3.1) несо</w:t>
      </w:r>
      <w:r>
        <w:rPr>
          <w:color w:val="000000"/>
        </w:rPr>
        <w:t xml:space="preserve">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</w:t>
      </w:r>
      <w:r>
        <w:rPr>
          <w:color w:val="000000"/>
        </w:rPr>
        <w:t xml:space="preserve">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r>
        <w:rPr>
          <w:color w:val="000000"/>
        </w:rPr>
        <w:t xml:space="preserve"> пунктов;</w:t>
      </w:r>
      <w:r/>
    </w:p>
    <w:p>
      <w:pPr>
        <w:pStyle w:val="1270"/>
      </w:pPr>
      <w:r>
        <w:rPr>
          <w:color w:val="000000"/>
        </w:rPr>
        <w:t xml:space="preserve"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 xml:space="preserve">с особыми услови</w:t>
      </w:r>
      <w:r>
        <w:t xml:space="preserve">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r/>
    </w:p>
    <w:p>
      <w:pPr>
        <w:pStyle w:val="1270"/>
      </w:pPr>
      <w:r>
        <w:t xml:space="preserve"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 xml:space="preserve"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  <w:r/>
    </w:p>
    <w:p>
      <w:pPr>
        <w:pStyle w:val="1270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6) принятие решения о комплексном развитии территории или заключение</w:t>
      </w:r>
      <w:r>
        <w:rPr>
          <w:color w:val="000000"/>
        </w:rPr>
        <w:br/>
        <w:t xml:space="preserve">в соответствии со статьей 70 Градостроительного кодекса Российской Федерации договора о комплексном развитии территории;</w:t>
      </w:r>
      <w:r/>
    </w:p>
    <w:p>
      <w:pPr>
        <w:pStyle w:val="1270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7) обнаружение мест захоронений погибших при защите Отечества, расположенных в границах муниципальных образований;</w:t>
      </w:r>
      <w:r/>
    </w:p>
    <w:p>
      <w:pPr>
        <w:pStyle w:val="1270"/>
        <w:ind w:firstLine="794"/>
      </w:pPr>
      <w:r>
        <w:rPr>
          <w:color w:val="000000"/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rPr>
          <w:color w:val="000000"/>
          <w:szCs w:val="28"/>
        </w:rPr>
        <w:t xml:space="preserve"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pStyle w:val="863"/>
        <w:contextualSpacing/>
      </w:pPr>
      <w:r/>
      <w:bookmarkStart w:id="13" w:name="_Toc208237199"/>
      <w:r>
        <w:rPr>
          <w:rFonts w:cs="Times New Roman"/>
          <w:color w:val="000000"/>
          <w:shd w:val="clear" w:color="auto" w:fill="auto"/>
        </w:rPr>
        <w:t xml:space="preserve">Статья 7. Градостроительные планы земельных участков</w:t>
      </w:r>
      <w:bookmarkEnd w:id="13"/>
      <w:r/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color w:val="000000"/>
        </w:rPr>
        <w:t xml:space="preserve">1. В соответствии со статьей 57.3 Градостроительного кодекса Российской Федерации градостроительный план </w:t>
      </w:r>
      <w:r>
        <w:rPr>
          <w:color w:val="000000"/>
        </w:rPr>
        <w:t xml:space="preserve">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  <w:r/>
    </w:p>
    <w:p>
      <w:pPr>
        <w:pStyle w:val="1270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Законом Рязанской области от 28.12.2018 № 106-ОЗ «О перера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270"/>
      </w:pPr>
      <w:r>
        <w:rPr>
          <w:color w:val="000000"/>
        </w:rPr>
        <w:t xml:space="preserve"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270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развития Рязанской области».</w:t>
      </w:r>
      <w:r/>
    </w:p>
    <w:p>
      <w:pPr>
        <w:pStyle w:val="1270"/>
        <w:rPr>
          <w:rFonts w:eastAsia="Times New Roman" w:cs="Times New Roman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</w:r>
      <w:r/>
    </w:p>
    <w:p>
      <w:pPr>
        <w:pStyle w:val="863"/>
        <w:contextualSpacing/>
      </w:pPr>
      <w:r/>
      <w:bookmarkStart w:id="14" w:name="_Toc208237200"/>
      <w:r>
        <w:rPr>
          <w:rFonts w:cs="Times New Roman"/>
        </w:rPr>
        <w:t xml:space="preserve">Статья 8. Разрешение на строительство, реконструкцию и ввод объектов капитального строительства в эксплуатацию</w:t>
      </w:r>
      <w:bookmarkEnd w:id="14"/>
      <w:r/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rFonts w:eastAsia="Times New Roman" w:cs="Times New Roman"/>
          <w:color w:val="000000"/>
          <w:spacing w:val="2"/>
          <w:szCs w:val="28"/>
        </w:rPr>
        <w:t xml:space="preserve"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  <w:r/>
    </w:p>
    <w:p>
      <w:pPr>
        <w:pStyle w:val="1270"/>
        <w:ind w:firstLine="737"/>
        <w:widowControl w:val="off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</w:t>
      </w:r>
      <w:r>
        <w:rPr>
          <w:rFonts w:eastAsia="Times New Roman" w:cs="Times New Roman"/>
          <w:color w:val="000000"/>
          <w:szCs w:val="28"/>
        </w:rPr>
        <w:t xml:space="preserve">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r>
        <w:rPr>
          <w:rFonts w:eastAsia="Times New Roman" w:cs="Times New Roman"/>
          <w:color w:val="000000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 xml:space="preserve">.</w:t>
      </w:r>
      <w:r/>
    </w:p>
    <w:p>
      <w:pPr>
        <w:pStyle w:val="1270"/>
      </w:pPr>
      <w:r>
        <w:rPr>
          <w:color w:val="000000"/>
        </w:rPr>
        <w:t xml:space="preserve">3. Согласно постановлению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270"/>
        <w:ind w:firstLine="737"/>
        <w:keepLines/>
        <w:keepNext/>
        <w:widowControl w:val="off"/>
      </w:pPr>
      <w:r>
        <w:rPr>
          <w:rFonts w:eastAsia="Times New Roman" w:cs="Times New Roman"/>
          <w:color w:val="000000"/>
          <w:szCs w:val="28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  <w:r/>
    </w:p>
    <w:p>
      <w:pPr>
        <w:pStyle w:val="1270"/>
        <w:widowControl w:val="off"/>
      </w:pPr>
      <w:r/>
      <w:r/>
    </w:p>
    <w:p>
      <w:pPr>
        <w:pStyle w:val="863"/>
        <w:contextualSpacing/>
        <w:rPr>
          <w:rFonts w:cs="Times New Roman"/>
        </w:rPr>
      </w:pPr>
      <w:r/>
      <w:bookmarkStart w:id="15" w:name="_Toc10"/>
      <w:r/>
      <w:bookmarkStart w:id="16" w:name="_Toc208237201"/>
      <w:r>
        <w:rPr>
          <w:rFonts w:cs="Times New Roman"/>
        </w:rPr>
        <w:t xml:space="preserve">Раздел 2. Градостроительные регламенты</w:t>
      </w:r>
      <w:bookmarkEnd w:id="15"/>
      <w:r/>
      <w:bookmarkEnd w:id="16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863"/>
        <w:contextualSpacing/>
        <w:rPr>
          <w:rFonts w:cs="Times New Roman"/>
        </w:rPr>
      </w:pPr>
      <w:r/>
      <w:bookmarkStart w:id="17" w:name="_Toc11"/>
      <w:r/>
      <w:bookmarkStart w:id="18" w:name="_Toc208237202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17"/>
      <w:r/>
      <w:bookmarkEnd w:id="18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</w:pPr>
      <w:r>
        <w:rPr>
          <w:color w:val="000000"/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  <w:r/>
    </w:p>
    <w:p>
      <w:pPr>
        <w:pStyle w:val="1270"/>
      </w:pPr>
      <w:r>
        <w:t xml:space="preserve">2. Градостроительные регламенты установлены с учетом:</w:t>
      </w:r>
      <w:r/>
    </w:p>
    <w:p>
      <w:pPr>
        <w:pStyle w:val="1270"/>
      </w:pPr>
      <w:r>
        <w:t xml:space="preserve">1) фактического использования земельных участков и объектов капитального строительства в границах территориальной зоны;</w:t>
      </w:r>
      <w:r/>
    </w:p>
    <w:p>
      <w:pPr>
        <w:pStyle w:val="1270"/>
      </w:pPr>
      <w:r>
        <w:t xml:space="preserve"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  <w:r/>
    </w:p>
    <w:p>
      <w:pPr>
        <w:pStyle w:val="1270"/>
      </w:pPr>
      <w:r>
        <w:t xml:space="preserve">3) </w:t>
      </w:r>
      <w:r>
        <w:rPr>
          <w:szCs w:val="28"/>
        </w:rPr>
        <w:t xml:space="preserve"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  <w:r/>
    </w:p>
    <w:p>
      <w:pPr>
        <w:pStyle w:val="1270"/>
      </w:pPr>
      <w:r>
        <w:rPr>
          <w:szCs w:val="28"/>
        </w:rPr>
        <w:t xml:space="preserve">4) видов территориальных зон;</w:t>
      </w:r>
      <w:r/>
    </w:p>
    <w:p>
      <w:pPr>
        <w:pStyle w:val="1270"/>
      </w:pPr>
      <w:r>
        <w:rPr>
          <w:color w:val="000000"/>
          <w:szCs w:val="28"/>
        </w:rPr>
        <w:t xml:space="preserve">5) требований охраны объектов культурного наследия, а также особо охраняемых природных территорий, и иных природных объектов.</w:t>
      </w:r>
      <w:r/>
    </w:p>
    <w:p>
      <w:pPr>
        <w:pStyle w:val="1270"/>
      </w:pPr>
      <w:r>
        <w:rPr>
          <w:color w:val="000000"/>
          <w:szCs w:val="28"/>
        </w:rPr>
        <w:t xml:space="preserve">3. Действие градостроительных регламентов распростра</w:t>
      </w:r>
      <w:r>
        <w:rPr>
          <w:color w:val="000000"/>
          <w:szCs w:val="28"/>
        </w:rPr>
        <w:t xml:space="preserve">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  <w:r/>
    </w:p>
    <w:p>
      <w:pPr>
        <w:pStyle w:val="1270"/>
      </w:pPr>
      <w:r>
        <w:rPr>
          <w:szCs w:val="28"/>
        </w:rPr>
        <w:t xml:space="preserve">4. Действие градостроительного регламента не распространяется на земельные участки:</w:t>
      </w:r>
      <w:r/>
    </w:p>
    <w:p>
      <w:pPr>
        <w:pStyle w:val="1270"/>
      </w:pPr>
      <w:r>
        <w:t xml:space="preserve">1) в границах территорий памятников и ансамблей, в</w:t>
      </w:r>
      <w:r>
        <w:t xml:space="preserve">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  <w:r/>
    </w:p>
    <w:p>
      <w:pPr>
        <w:pStyle w:val="1270"/>
      </w:pPr>
      <w:r>
        <w:t xml:space="preserve">2) в границах территорий общего пользования;</w:t>
      </w:r>
      <w:r/>
    </w:p>
    <w:p>
      <w:pPr>
        <w:pStyle w:val="1270"/>
      </w:pPr>
      <w:r>
        <w:t xml:space="preserve">3) предназначенные для размещения линейных объектов и (или) занятые линейными объектами;</w:t>
      </w:r>
      <w:r/>
    </w:p>
    <w:p>
      <w:pPr>
        <w:pStyle w:val="1270"/>
      </w:pPr>
      <w:r>
        <w:rPr>
          <w:szCs w:val="28"/>
        </w:rPr>
        <w:t xml:space="preserve">4) предоставленные для добычи полезных ископаемых.</w:t>
      </w:r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  <w:rPr>
          <w:rFonts w:cs="Times New Roman"/>
        </w:rPr>
      </w:pPr>
      <w:r/>
      <w:bookmarkStart w:id="19" w:name="_Toc12"/>
      <w:r/>
      <w:bookmarkStart w:id="20" w:name="_Toc208237203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 xml:space="preserve">П</w:t>
      </w:r>
      <w:r>
        <w:rPr>
          <w:rFonts w:cs="Times New Roman"/>
        </w:rPr>
        <w:t xml:space="preserve">еречень территориальных зон, </w:t>
      </w:r>
      <w:r>
        <w:rPr>
          <w:rFonts w:cs="Times New Roman"/>
          <w:color w:val="000000"/>
          <w:shd w:val="clear" w:color="auto" w:fill="auto"/>
        </w:rPr>
        <w:t xml:space="preserve">установленных</w:t>
      </w:r>
      <w:r>
        <w:rPr>
          <w:rFonts w:cs="Times New Roman"/>
        </w:rPr>
        <w:t xml:space="preserve"> на карте градостроительного зонирования</w:t>
      </w:r>
      <w:bookmarkEnd w:id="19"/>
      <w:r/>
      <w:bookmarkEnd w:id="20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eastAsia="Times New Roman"/>
          <w:spacing w:val="5"/>
          <w:szCs w:val="28"/>
        </w:rPr>
        <w:t xml:space="preserve">Касимовский</w:t>
      </w:r>
      <w:r>
        <w:rPr>
          <w:rFonts w:eastAsia="Times New Roman"/>
          <w:spacing w:val="5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spacing w:val="5"/>
          <w:szCs w:val="28"/>
        </w:rPr>
        <w:t xml:space="preserve">Булгаковского</w:t>
      </w:r>
      <w:r>
        <w:rPr>
          <w:rFonts w:eastAsia="Times New Roman"/>
          <w:spacing w:val="5"/>
          <w:szCs w:val="28"/>
        </w:rPr>
        <w:t xml:space="preserve"> сельского округа </w:t>
      </w:r>
      <w:r>
        <w:rPr>
          <w:rFonts w:eastAsia="Times New Roman"/>
          <w:spacing w:val="5"/>
          <w:szCs w:val="28"/>
        </w:rPr>
        <w:t xml:space="preserve">Касимовского</w:t>
      </w:r>
      <w:r>
        <w:rPr>
          <w:rFonts w:eastAsia="Times New Roman"/>
          <w:spacing w:val="5"/>
          <w:szCs w:val="28"/>
        </w:rPr>
        <w:t xml:space="preserve">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территориальные зоны, представленные </w:t>
      </w:r>
      <w:r>
        <w:rPr>
          <w:rFonts w:eastAsia="Times New Roman"/>
          <w:color w:val="000000"/>
          <w:spacing w:val="5"/>
          <w:szCs w:val="28"/>
        </w:rPr>
        <w:br/>
      </w:r>
      <w:r>
        <w:rPr>
          <w:rFonts w:eastAsia="Times New Roman"/>
          <w:spacing w:val="5"/>
          <w:szCs w:val="28"/>
        </w:rPr>
        <w:t xml:space="preserve">в таблице </w:t>
      </w:r>
      <w:r>
        <w:rPr>
          <w:rFonts w:eastAsia="Times New Roman"/>
          <w:spacing w:val="5"/>
          <w:szCs w:val="28"/>
        </w:rPr>
        <w:t xml:space="preserve">10.</w:t>
      </w:r>
      <w:r>
        <w:rPr>
          <w:rFonts w:eastAsia="Times New Roman"/>
          <w:spacing w:val="5"/>
          <w:szCs w:val="28"/>
        </w:rPr>
        <w:t xml:space="preserve">1.</w:t>
      </w:r>
      <w:r/>
    </w:p>
    <w:p>
      <w:pPr>
        <w:pStyle w:val="1270"/>
        <w:jc w:val="right"/>
      </w:pPr>
      <w:r>
        <w:t xml:space="preserve">Таблица 10.1</w:t>
      </w:r>
      <w:r/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371"/>
      </w:tblGrid>
      <w:tr>
        <w:trPr>
          <w:trHeight w:val="497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t xml:space="preserve">территориальной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Наименование (код)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t xml:space="preserve">территориальной зоны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text;margin-left:35.4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9;o:allowoverlap:true;o:allowincell:true;mso-position-horizontal-relative:text;margin-left:35.4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13;o:allowoverlap:true;o:allowincell:true;mso-position-horizontal-relative:text;margin-left:35.4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  <w:rPr>
                <w:szCs w:val="24"/>
              </w:rPr>
            </w:pPr>
            <w:r>
              <w:t xml:space="preserve">Жилая зона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5715" t="5715" r="4445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5;o:allowoverlap:true;o:allowincell:tru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color="#CA7AF5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5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8;o:allowoverlap:true;o:allowincell:tru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1205" cy="355600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2.2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14;o:allowoverlap:true;o:allowincell:true;mso-position-horizontal-relative:text;margin-left:36.5pt;mso-position-horizontal:absolute;mso-position-vertical-relative:text;margin-top:4.5pt;mso-position-vertical:absolute;width:59.1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Зона специализированной общественной застройки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5080" t="5715" r="5080" b="4445"/>
                      <wp:wrapNone/>
                      <wp:docPr id="7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32;o:allowoverlap:true;o:allowincell:true;mso-position-horizontal-relative:text;margin-left:35.1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color="#895A44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3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0" t="0" r="0" b="0"/>
                      <wp:wrapNone/>
                      <wp:docPr id="8" name="Врезка5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33;o:allowoverlap:true;o:allowincell:true;mso-position-horizontal-relative:text;margin-left:35.1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0" t="0" r="0" b="0"/>
                      <wp:wrapNone/>
                      <wp:docPr id="9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34;o:allowoverlap:true;o:allowincell:true;mso-position-horizontal-relative:text;margin-left:36.5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0" t="0" r="0" b="0"/>
                      <wp:wrapNone/>
                      <wp:docPr id="10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35;o:allowoverlap:true;o:allowincell:true;mso-position-horizontal-relative:text;margin-left:36.5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0" t="0" r="0" b="0"/>
                      <wp:wrapNone/>
                      <wp:docPr id="11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36;o:allowoverlap:true;o:allowincell:false;mso-position-horizontal-relative:text;margin-left:36.5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54380" cy="358775"/>
                      <wp:effectExtent l="0" t="0" r="0" b="0"/>
                      <wp:wrapNone/>
                      <wp:docPr id="12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3840" cy="35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37;o:allowoverlap:true;o:allowincell:false;mso-position-horizontal-relative:text;margin-left:36.5pt;mso-position-horizontal:absolute;mso-position-vertical-relative:text;margin-top:4.5pt;mso-position-vertical:absolute;width:59.4pt;height:28.2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Производственная зона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1050" cy="403225"/>
                      <wp:effectExtent l="5080" t="5715" r="5080" b="4445"/>
                      <wp:wrapNone/>
                      <wp:docPr id="13" name="Врезка2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048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84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38;o:allowoverlap:true;o:allowincell:false;mso-position-horizontal-relative:text;margin-left:35.9pt;mso-position-horizontal:absolute;mso-position-vertical-relative:text;margin-top:3.1pt;mso-position-vertical:absolute;width:61.5pt;height:31.8pt;mso-wrap-distance-left:0.0pt;mso-wrap-distance-top:0.0pt;mso-wrap-distance-right:0.0pt;mso-wrap-distance-bottom:0.0pt;visibility:visible;" fillcolor="#BD8484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15645" cy="403225"/>
                      <wp:effectExtent l="0" t="0" r="0" b="0"/>
                      <wp:wrapNone/>
                      <wp:docPr id="14" name="Врезка4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14960" cy="402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39;o:allowoverlap:true;o:allowincell:false;mso-position-horizontal-relative:text;margin-left:35.9pt;mso-position-horizontal:absolute;mso-position-vertical-relative:text;margin-top:3.1pt;mso-position-vertical:absolute;width:56.3pt;height:31.8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1050" cy="403225"/>
                      <wp:effectExtent l="0" t="0" r="0" b="0"/>
                      <wp:wrapNone/>
                      <wp:docPr id="15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0480" cy="402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40;o:allowoverlap:true;o:allowincell:false;mso-position-horizontal-relative:text;margin-left:35.9pt;mso-position-horizontal:absolute;mso-position-vertical-relative:text;margin-top:3.1pt;mso-position-vertical:absolute;width:61.5pt;height:31.8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1050" cy="403225"/>
                      <wp:effectExtent l="0" t="0" r="0" b="0"/>
                      <wp:wrapNone/>
                      <wp:docPr id="16" name="Врезка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0480" cy="402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o:spt="1" type="#_x0000_t1" style="position:absolute;z-index:41;o:allowoverlap:true;o:allowincell:false;mso-position-horizontal-relative:text;margin-left:35.9pt;mso-position-horizontal:absolute;mso-position-vertical-relative:text;margin-top:3.1pt;mso-position-vertical:absolute;width:61.5pt;height:31.8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1050" cy="403225"/>
                      <wp:effectExtent l="0" t="0" r="0" b="0"/>
                      <wp:wrapNone/>
                      <wp:docPr id="1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0480" cy="402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306"/>
                                    <w:ind w:firstLine="0"/>
                                    <w:jc w:val="center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3.5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6" o:spid="_x0000_s16" o:spt="1" type="#_x0000_t1" style="position:absolute;z-index:42;o:allowoverlap:true;o:allowincell:false;mso-position-horizontal-relative:text;margin-left:35.9pt;mso-position-horizontal:absolute;mso-position-vertical-relative:text;margin-top:3.1pt;mso-position-vertical:absolute;width:61.5pt;height:31.8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306"/>
                              <w:ind w:firstLine="0"/>
                              <w:jc w:val="center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Коммунально-складская зона в границах населенных пунктов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49530</wp:posOffset>
                      </wp:positionV>
                      <wp:extent cx="779780" cy="370840"/>
                      <wp:effectExtent l="5080" t="5715" r="5080" b="4445"/>
                      <wp:wrapNone/>
                      <wp:docPr id="18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9040" cy="37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10;o:allowoverlap:true;o:allowincell:true;mso-position-horizontal-relative:text;margin-left:34.9pt;mso-position-horizontal:absolute;mso-position-vertical-relative:text;margin-top:3.9pt;mso-position-vertical:absolute;width:61.4pt;height:29.2pt;mso-wrap-distance-left:0.0pt;mso-wrap-distance-top:0.0pt;mso-wrap-distance-right:0.0pt;mso-wrap-distance-bottom:0.0pt;visibility:visible;" fillcolor="#C0C00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193675</wp:posOffset>
                      </wp:positionV>
                      <wp:extent cx="401320" cy="226695"/>
                      <wp:effectExtent l="0" t="0" r="0" b="0"/>
                      <wp:wrapNone/>
                      <wp:docPr id="19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00680" cy="22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11;o:allowoverlap:true;o:allowincell:true;mso-position-horizontal-relative:text;margin-left:34.9pt;mso-position-horizontal:absolute;mso-position-vertical-relative:text;margin-top:15.2pt;mso-position-vertical:absolute;width:31.6pt;height:17.8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648970" cy="313055"/>
                      <wp:effectExtent l="0" t="0" r="0" b="0"/>
                      <wp:wrapNone/>
                      <wp:docPr id="2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48360" cy="312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12;o:allowoverlap:true;o:allowincell:true;mso-position-horizontal-relative:text;margin-left:34.9pt;mso-position-horizontal:absolute;mso-position-vertical-relative:text;margin-top:5.1pt;mso-position-vertical:absolute;width:51.1pt;height:24.6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79780" cy="355600"/>
                      <wp:effectExtent l="0" t="0" r="0" b="0"/>
                      <wp:wrapNone/>
                      <wp:docPr id="21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904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4.4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15;o:allowoverlap:true;o:allowincell:true;mso-position-horizontal-relative:text;margin-left:34.9pt;mso-position-horizontal:absolute;mso-position-vertical-relative:text;margin-top:5.1pt;mso-position-vertical:absolute;width:61.4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Производственная зона сельскохозяйственных предприятий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4860" cy="407035"/>
                      <wp:effectExtent l="5080" t="5715" r="5080" b="4445"/>
                      <wp:wrapNone/>
                      <wp:docPr id="22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4080" cy="40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6;o:allowoverlap:true;o:allowincell:false;mso-position-horizontal-relative:text;margin-left:34.9pt;mso-position-horizontal:absolute;mso-position-vertical-relative:text;margin-top:3.2pt;mso-position-vertical:absolute;width:61.8pt;height:32.0pt;mso-wrap-distance-left:0.0pt;mso-wrap-distance-top:0.0pt;mso-wrap-distance-right:0.0pt;mso-wrap-distance-bottom:0.0pt;visibility:visible;" fillcolor="#CDAA66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694690" cy="407035"/>
                      <wp:effectExtent l="0" t="0" r="0" b="0"/>
                      <wp:wrapNone/>
                      <wp:docPr id="23" name="Врезка1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080" cy="406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7;o:allowoverlap:true;o:allowincell:false;mso-position-horizontal-relative:text;margin-left:34.9pt;mso-position-horizontal:absolute;mso-position-vertical-relative:text;margin-top:3.2pt;mso-position-vertical:absolute;width:54.7pt;height:32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4860" cy="407035"/>
                      <wp:effectExtent l="0" t="0" r="0" b="0"/>
                      <wp:wrapNone/>
                      <wp:docPr id="24" name="Врезка1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4080" cy="406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8;o:allowoverlap:true;o:allowincell:false;mso-position-horizontal-relative:text;margin-left:34.9pt;mso-position-horizontal:absolute;mso-position-vertical-relative:text;margin-top:3.2pt;mso-position-vertical:absolute;width:61.8pt;height:32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4860" cy="407035"/>
                      <wp:effectExtent l="0" t="0" r="0" b="0"/>
                      <wp:wrapNone/>
                      <wp:docPr id="25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4080" cy="406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9;o:allowoverlap:true;o:allowincell:false;mso-position-horizontal-relative:text;margin-left:34.9pt;mso-position-horizontal:absolute;mso-position-vertical-relative:text;margin-top:3.2pt;mso-position-vertical:absolute;width:61.8pt;height:32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4860" cy="407035"/>
                      <wp:effectExtent l="0" t="0" r="0" b="0"/>
                      <wp:wrapNone/>
                      <wp:docPr id="26" name="Врезка11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4080" cy="406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30;o:allowoverlap:true;o:allowincell:false;mso-position-horizontal-relative:text;margin-left:34.9pt;mso-position-horizontal:absolute;mso-position-vertical-relative:text;margin-top:3.2pt;mso-position-vertical:absolute;width:61.8pt;height:32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4860" cy="407035"/>
                      <wp:effectExtent l="0" t="0" r="0" b="0"/>
                      <wp:wrapNone/>
                      <wp:docPr id="27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4080" cy="406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306"/>
                                    <w:ind w:firstLine="0"/>
                                    <w:jc w:val="center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4.5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31;o:allowoverlap:true;o:allowincell:false;mso-position-horizontal-relative:text;margin-left:34.9pt;mso-position-horizontal:absolute;mso-position-vertical-relative:text;margin-top:3.2pt;mso-position-vertical:absolute;width:61.8pt;height:32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306"/>
                              <w:ind w:firstLine="0"/>
                              <w:jc w:val="center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Иная зона сельскохозяйственного назначения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3585" cy="347980"/>
                      <wp:effectExtent l="5080" t="5715" r="5080" b="4445"/>
                      <wp:wrapNone/>
                      <wp:docPr id="28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040" cy="34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17;o:allowoverlap:true;o:allowincell:true;mso-position-horizontal-relative:text;margin-left:34.9pt;mso-position-horizontal:absolute;mso-position-vertical-relative:text;margin-top:4.5pt;mso-position-vertical:absolute;width:58.5pt;height:27.4pt;mso-wrap-distance-left:0.0pt;mso-wrap-distance-top:0.0pt;mso-wrap-distance-right:0.0pt;mso-wrap-distance-bottom:0.0pt;visibility:visible;" fillcolor="#6AB366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3585" cy="347980"/>
                      <wp:effectExtent l="0" t="0" r="0" b="0"/>
                      <wp:wrapNone/>
                      <wp:docPr id="29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040" cy="347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8" o:spid="_x0000_s28" o:spt="1" type="#_x0000_t1" style="position:absolute;z-index:18;o:allowoverlap:true;o:allowincell:true;mso-position-horizontal-relative:text;margin-left:34.9pt;mso-position-horizontal:absolute;mso-position-vertical-relative:text;margin-top:4.5pt;mso-position-vertical:absolute;width:58.5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3585" cy="347980"/>
                      <wp:effectExtent l="0" t="0" r="0" b="0"/>
                      <wp:wrapNone/>
                      <wp:docPr id="30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040" cy="347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9" o:spid="_x0000_s29" o:spt="1" type="#_x0000_t1" style="position:absolute;z-index:19;o:allowoverlap:true;o:allowincell:true;mso-position-horizontal-relative:text;margin-left:34.9pt;mso-position-horizontal:absolute;mso-position-vertical-relative:text;margin-top:4.5pt;mso-position-vertical:absolute;width:58.5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3585" cy="347980"/>
                      <wp:effectExtent l="0" t="0" r="0" b="0"/>
                      <wp:wrapNone/>
                      <wp:docPr id="31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040" cy="347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0" o:spid="_x0000_s30" o:spt="1" type="#_x0000_t1" style="position:absolute;z-index:20;o:allowoverlap:true;o:allowincell:false;mso-position-horizontal-relative:text;margin-left:34.9pt;mso-position-horizontal:absolute;mso-position-vertical-relative:text;margin-top:4.5pt;mso-position-vertical:absolute;width:58.5pt;height:27.4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43585" cy="347980"/>
                      <wp:effectExtent l="0" t="0" r="0" b="0"/>
                      <wp:wrapNone/>
                      <wp:docPr id="32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3040" cy="347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5.6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1" o:spid="_x0000_s31" o:spt="1" type="#_x0000_t1" style="position:absolute;z-index:21;o:allowoverlap:true;o:allowincell:false;mso-position-horizontal-relative:text;margin-left:34.9pt;mso-position-horizontal:absolute;mso-position-vertical-relative:text;margin-top:4.5pt;mso-position-vertical:absolute;width:58.5pt;height:27.4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5.6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ind w:left="57"/>
              <w:widowControl w:val="off"/>
            </w:pPr>
            <w:r>
              <w:t xml:space="preserve">Зона озелененных территорий специального назначения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5080" t="5715" r="5080" b="4445"/>
                      <wp:wrapNone/>
                      <wp:docPr id="3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2" o:spid="_x0000_s32" o:spt="1" type="#_x0000_t1" style="position:absolute;z-index:6;o:allowoverlap:true;o:allowincell:true;mso-position-horizontal-relative:text;margin-left:35.1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color="#305000" strokecolor="#000000" strokeweight="0.74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0" t="0" r="0" b="0"/>
                      <wp:wrapNone/>
                      <wp:docPr id="3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3" o:spid="_x0000_s33" o:spt="1" type="#_x0000_t1" style="position:absolute;z-index:7;o:allowoverlap:true;o:allowincell:true;mso-position-horizontal-relative:text;margin-left:35.1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ed="f" stroked="f" strokeweight="0.00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51205" cy="355600"/>
                      <wp:effectExtent l="0" t="0" r="0" b="0"/>
                      <wp:wrapNone/>
                      <wp:docPr id="35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29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6.1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4" o:spid="_x0000_s34" o:spt="1" type="#_x0000_t1" style="position:absolute;z-index:16;o:allowoverlap:true;o:allowincell:true;mso-position-horizontal-relative:text;margin-left:35.1pt;mso-position-horizontal:absolute;mso-position-vertical-relative:text;margin-top:4.8pt;mso-position-vertical:absolute;width:59.1pt;height:28.0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29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Зона кладбищ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48895</wp:posOffset>
                      </wp:positionV>
                      <wp:extent cx="746125" cy="365125"/>
                      <wp:effectExtent l="5080" t="5080" r="5080" b="5080"/>
                      <wp:wrapNone/>
                      <wp:docPr id="36" name="Врезка1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556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5" o:spid="_x0000_s35" o:spt="1" type="#_x0000_t1" style="position:absolute;z-index:22;o:allowoverlap:true;o:allowincell:false;mso-position-horizontal-relative:text;margin-left:34.4pt;mso-position-horizontal:absolute;mso-position-vertical-relative:text;margin-top:3.8pt;mso-position-vertical:absolute;width:58.8pt;height:28.8pt;mso-wrap-distance-left:0.0pt;mso-wrap-distance-top:0.0pt;mso-wrap-distance-right:0.0pt;mso-wrap-distance-bottom:0.0pt;visibility:visible;" fillcolor="#E2C2F4" strokecolor="#000000" strokeweight="0.75pt"/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48895</wp:posOffset>
                      </wp:positionV>
                      <wp:extent cx="746125" cy="365125"/>
                      <wp:effectExtent l="0" t="0" r="0" b="0"/>
                      <wp:wrapNone/>
                      <wp:docPr id="37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455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306"/>
                                    <w:ind w:firstLine="0"/>
                                    <w:jc w:val="center"/>
                                    <w:widowControl w:val="off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6.3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6" o:spid="_x0000_s36" o:spt="1" type="#_x0000_t1" style="position:absolute;z-index:23;o:allowoverlap:true;o:allowincell:false;mso-position-horizontal-relative:text;margin-left:34.4pt;mso-position-horizontal:absolute;mso-position-vertical-relative:text;margin-top:3.8pt;mso-position-vertical:absolute;width:58.8pt;height:28.8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1306"/>
                              <w:ind w:firstLine="0"/>
                              <w:jc w:val="center"/>
                              <w:widowControl w:val="off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290"/>
              <w:ind w:left="57"/>
              <w:widowControl w:val="off"/>
            </w:pPr>
            <w:r>
              <w:t xml:space="preserve">Зона складирования и захоронения отходов</w:t>
            </w:r>
            <w:r/>
          </w:p>
        </w:tc>
      </w:tr>
    </w:tbl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</w:pPr>
      <w:r/>
      <w:bookmarkStart w:id="21" w:name="_Toc13"/>
      <w:r/>
      <w:bookmarkStart w:id="22" w:name="_Toc208237204"/>
      <w:r>
        <w:rPr>
          <w:rFonts w:cs="Times New Roman"/>
        </w:rPr>
        <w:t xml:space="preserve"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1"/>
      <w:r/>
      <w:bookmarkEnd w:id="22"/>
      <w:r/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270"/>
      </w:pPr>
      <w:r>
        <w:t xml:space="preserve"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  <w:r/>
    </w:p>
    <w:p>
      <w:pPr>
        <w:pStyle w:val="1270"/>
      </w:pPr>
      <w:r>
        <w:rPr>
          <w:color w:val="000000"/>
        </w:rPr>
        <w:t xml:space="preserve">1) основные виды разрешенного использования;</w:t>
      </w:r>
      <w:r/>
    </w:p>
    <w:p>
      <w:pPr>
        <w:pStyle w:val="1270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 xml:space="preserve">условно разрешенные виды использования;</w:t>
      </w:r>
      <w:r/>
    </w:p>
    <w:p>
      <w:pPr>
        <w:pStyle w:val="1270"/>
      </w:pPr>
      <w:r>
        <w:rPr>
          <w:color w:val="000000"/>
          <w:spacing w:val="4"/>
        </w:rPr>
        <w:t xml:space="preserve">3) вспомогательные виды разрешенного использования, допустимые только в качестве </w:t>
      </w:r>
      <w:r>
        <w:rPr>
          <w:color w:val="000000"/>
          <w:spacing w:val="4"/>
        </w:rPr>
        <w:t xml:space="preserve">дополнительных</w:t>
      </w:r>
      <w:r>
        <w:rPr>
          <w:color w:val="000000"/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  <w:r/>
    </w:p>
    <w:p>
      <w:pPr>
        <w:pStyle w:val="1270"/>
      </w:pPr>
      <w:r>
        <w:rPr>
          <w:color w:val="000000"/>
          <w:spacing w:val="4"/>
        </w:rPr>
        <w:t xml:space="preserve"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</w:t>
      </w:r>
      <w:r>
        <w:rPr>
          <w:color w:val="000000"/>
          <w:spacing w:val="5"/>
          <w:szCs w:val="28"/>
        </w:rPr>
        <w:t xml:space="preserve">й Федерации,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  <w:r/>
    </w:p>
    <w:p>
      <w:pPr>
        <w:pStyle w:val="1270"/>
      </w:pPr>
      <w:r>
        <w:rPr>
          <w:color w:val="000000"/>
          <w:spacing w:val="5"/>
          <w:szCs w:val="28"/>
        </w:rPr>
        <w:t xml:space="preserve">3. Текстовое наименование вида разрешенного использования земельного участка и его код (числовое обозначение) являются равнозначными.</w:t>
      </w:r>
      <w:r/>
    </w:p>
    <w:p>
      <w:pPr>
        <w:pStyle w:val="1270"/>
      </w:pPr>
      <w:r>
        <w:rPr>
          <w:color w:val="000000"/>
        </w:rPr>
        <w:t xml:space="preserve">4.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  <w:r/>
    </w:p>
    <w:p>
      <w:pPr>
        <w:pStyle w:val="1270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  <w:r/>
    </w:p>
    <w:p>
      <w:pPr>
        <w:pStyle w:val="1270"/>
      </w:pPr>
      <w:r>
        <w:rPr>
          <w:color w:val="000000"/>
          <w:szCs w:val="28"/>
        </w:rPr>
        <w:t xml:space="preserve"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  <w:r/>
    </w:p>
    <w:p>
      <w:pPr>
        <w:pStyle w:val="1270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 xml:space="preserve"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находящихся в государственной или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  <w:r/>
    </w:p>
    <w:p>
      <w:pPr>
        <w:pStyle w:val="1270"/>
      </w:pPr>
      <w:r>
        <w:rPr>
          <w:color w:val="000000"/>
          <w:szCs w:val="28"/>
        </w:rPr>
        <w:t xml:space="preserve">8. </w:t>
      </w:r>
      <w:r>
        <w:rPr>
          <w:color w:val="000000"/>
          <w:szCs w:val="28"/>
        </w:rPr>
        <w:t xml:space="preserve">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</w:t>
      </w:r>
      <w:r>
        <w:rPr>
          <w:color w:val="000000"/>
          <w:szCs w:val="28"/>
        </w:rPr>
        <w:t xml:space="preserve">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r/>
    </w:p>
    <w:p>
      <w:pPr>
        <w:pStyle w:val="1270"/>
      </w:pPr>
      <w:r>
        <w:rPr>
          <w:color w:val="000000"/>
          <w:szCs w:val="28"/>
        </w:rPr>
        <w:t xml:space="preserve">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  <w:r/>
    </w:p>
    <w:p>
      <w:pPr>
        <w:pStyle w:val="1270"/>
      </w:pPr>
      <w:r>
        <w:rPr>
          <w:color w:val="000000"/>
          <w:szCs w:val="28"/>
        </w:rPr>
        <w:t xml:space="preserve">9. Высо</w:t>
      </w:r>
      <w:r>
        <w:rPr>
          <w:color w:val="000000"/>
          <w:szCs w:val="28"/>
        </w:rPr>
        <w:t xml:space="preserve">та объекта капитального строительства определяется как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  <w:r/>
    </w:p>
    <w:p>
      <w:pPr>
        <w:pStyle w:val="1270"/>
      </w:pPr>
      <w:r>
        <w:rPr>
          <w:color w:val="000000"/>
          <w:szCs w:val="28"/>
        </w:rPr>
        <w:t xml:space="preserve">10.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  <w:r/>
    </w:p>
    <w:p>
      <w:pPr>
        <w:pStyle w:val="1270"/>
      </w:pPr>
      <w:r>
        <w:rPr>
          <w:color w:val="000000"/>
          <w:szCs w:val="28"/>
        </w:rPr>
        <w:t xml:space="preserve">11.  Ширина улиц и дорог принимается, 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: магистральных дорог - 50-100; магистральных улиц - 40-100; улиц и дорог местного значения - 15-30.</w:t>
      </w:r>
      <w:r/>
    </w:p>
    <w:p>
      <w:pPr>
        <w:pStyle w:val="1270"/>
        <w:rPr>
          <w:szCs w:val="28"/>
        </w:rPr>
      </w:pPr>
      <w:r>
        <w:rPr>
          <w:szCs w:val="28"/>
        </w:rPr>
      </w:r>
      <w:r/>
    </w:p>
    <w:p>
      <w:pPr>
        <w:pStyle w:val="863"/>
        <w:contextualSpacing/>
      </w:pPr>
      <w:r/>
      <w:bookmarkStart w:id="23" w:name="_Toc14"/>
      <w:r/>
      <w:bookmarkStart w:id="24" w:name="_Toc208237205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 xml:space="preserve">Ж</w:t>
      </w:r>
      <w:r>
        <w:rPr>
          <w:rFonts w:eastAsia="Times New Roman" w:cs="Times New Roman"/>
          <w:color w:val="000000"/>
          <w:lang w:eastAsia="ru-RU"/>
        </w:rPr>
        <w:t xml:space="preserve">илая зона</w:t>
      </w:r>
      <w:r>
        <w:rPr>
          <w:rFonts w:cs="Times New Roman"/>
        </w:rPr>
        <w:t xml:space="preserve"> (</w:t>
      </w:r>
      <w:r>
        <w:rPr>
          <w:rFonts w:cs="Times New Roman"/>
          <w:color w:val="000000"/>
        </w:rPr>
        <w:t xml:space="preserve">1</w:t>
      </w:r>
      <w:r>
        <w:rPr>
          <w:rFonts w:cs="Times New Roman"/>
        </w:rPr>
        <w:t xml:space="preserve">)</w:t>
      </w:r>
      <w:bookmarkEnd w:id="23"/>
      <w:r/>
      <w:bookmarkEnd w:id="24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numPr>
          <w:ilvl w:val="0"/>
          <w:numId w:val="1"/>
        </w:numPr>
        <w:ind w:firstLine="680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  <w:r/>
    </w:p>
    <w:p>
      <w:pPr>
        <w:pStyle w:val="1270"/>
        <w:numPr>
          <w:ilvl w:val="0"/>
          <w:numId w:val="1"/>
        </w:numPr>
        <w:ind w:firstLine="680"/>
        <w:widowControl w:val="off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жилой зоне</w:t>
      </w:r>
      <w:r>
        <w:rPr>
          <w:rFonts w:eastAsia="XO Thames;Times New Roman" w:cs="Times New Roman"/>
          <w:color w:val="000000"/>
          <w:szCs w:val="28"/>
          <w:shd w:val="clear" w:color="auto" w:fill="ffffff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представлены в таблице 11.</w:t>
      </w:r>
      <w:r>
        <w:rPr>
          <w:rFonts w:cs="Times New Roman"/>
          <w:color w:val="000000"/>
          <w:szCs w:val="28"/>
          <w:shd w:val="clear" w:color="auto" w:fill="ffffff"/>
        </w:rPr>
        <w:t xml:space="preserve">1.1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.</w:t>
      </w:r>
      <w:r/>
    </w:p>
    <w:p>
      <w:pPr>
        <w:numPr>
          <w:ilvl w:val="0"/>
          <w:numId w:val="1"/>
        </w:numPr>
        <w:ind w:firstLine="737"/>
        <w:jc w:val="right"/>
        <w:tabs>
          <w:tab w:val="left" w:pos="605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11.1.1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rPr>
          <w:trHeight w:val="5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административные здания организаций, </w:t>
            </w:r>
            <w:r>
              <w:t xml:space="preserve">обеспечи-вающих</w:t>
            </w:r>
            <w: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обеспечение деятельности в области гидрометео</w:t>
            </w:r>
            <w:r>
              <w:t xml:space="preserve">рологии и смежных с ней областях</w:t>
            </w:r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3.9.1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/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57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2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270"/>
        <w:numPr>
          <w:ilvl w:val="0"/>
          <w:numId w:val="1"/>
        </w:numPr>
        <w:ind w:firstLine="709"/>
      </w:pPr>
      <w: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жилой зоне представлены в таблице 11.1.2.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11.1.2</w:t>
      </w:r>
      <w:r/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080"/>
        <w:gridCol w:w="1078"/>
        <w:gridCol w:w="1222"/>
        <w:gridCol w:w="1108"/>
        <w:gridCol w:w="1402"/>
        <w:gridCol w:w="1770"/>
        <w:gridCol w:w="1366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3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2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5017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1290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270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 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r>
              <w:rPr>
                <w:color w:val="000000"/>
                <w:sz w:val="24"/>
                <w:szCs w:val="24"/>
              </w:rPr>
              <w:t xml:space="preserve">домами</w:t>
            </w:r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  <w:r/>
          </w:p>
          <w:p>
            <w:pPr>
              <w:pStyle w:val="1270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5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6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270"/>
              <w:ind w:left="57" w:right="57" w:firstLine="0"/>
              <w:widowControl w:val="off"/>
              <w:rPr>
                <w:color w:val="000000"/>
              </w:rPr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7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8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кв.м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numPr>
          <w:ilvl w:val="0"/>
          <w:numId w:val="1"/>
        </w:numPr>
        <w:ind w:firstLine="737"/>
        <w:jc w:val="right"/>
        <w:tabs>
          <w:tab w:val="left" w:pos="605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863"/>
        <w:rPr>
          <w:rFonts w:cs="Times New Roman"/>
        </w:rPr>
      </w:pPr>
      <w:r/>
      <w:bookmarkStart w:id="25" w:name="_Toc15"/>
      <w:r/>
      <w:bookmarkStart w:id="26" w:name="_Toc208237206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2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 xml:space="preserve"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2.</w:t>
      </w:r>
      <w:r>
        <w:rPr>
          <w:rFonts w:cs="Times New Roman"/>
        </w:rPr>
        <w:t xml:space="preserve">2)</w:t>
      </w:r>
      <w:bookmarkEnd w:id="25"/>
      <w:r/>
      <w:bookmarkEnd w:id="26"/>
      <w:r/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270"/>
        <w:numPr>
          <w:ilvl w:val="0"/>
          <w:numId w:val="1"/>
        </w:numPr>
        <w:ind w:firstLine="709"/>
        <w:rPr>
          <w:rFonts w:cs="Times New Roman"/>
          <w:iCs/>
          <w:color w:val="000000"/>
          <w:szCs w:val="28"/>
          <w:lang w:eastAsia="ar-SA"/>
        </w:rPr>
      </w:pPr>
      <w:r>
        <w:rPr>
          <w:rStyle w:val="886"/>
          <w:rFonts w:cs="Times New Roman"/>
          <w:szCs w:val="28"/>
          <w:lang w:eastAsia="ar-SA"/>
        </w:rPr>
        <w:t xml:space="preserve">1. </w:t>
      </w:r>
      <w:r>
        <w:rPr>
          <w:rStyle w:val="886"/>
          <w:rFonts w:eastAsia="Times New Roman" w:cs="Times New Roman"/>
          <w:color w:val="000000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религиозного использования.</w:t>
      </w:r>
      <w:r/>
    </w:p>
    <w:p>
      <w:pPr>
        <w:pStyle w:val="1270"/>
        <w:numPr>
          <w:ilvl w:val="0"/>
          <w:numId w:val="1"/>
        </w:numPr>
        <w:ind w:firstLine="709"/>
        <w:rPr>
          <w:rFonts w:cs="Times New Roman"/>
          <w:iCs/>
          <w:color w:val="000000"/>
          <w:szCs w:val="28"/>
          <w:lang w:eastAsia="ar-SA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886"/>
          <w:rFonts w:eastAsia="Times New Roman" w:cs="Times New Roman"/>
          <w:iCs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iCs/>
          <w:color w:val="000000"/>
          <w:szCs w:val="28"/>
          <w:lang w:eastAsia="ar-SA"/>
        </w:rPr>
        <w:t xml:space="preserve">представлены в таблице 11.</w:t>
      </w:r>
      <w:r>
        <w:rPr>
          <w:rFonts w:cs="Times New Roman"/>
          <w:iCs/>
          <w:color w:val="000000"/>
          <w:szCs w:val="28"/>
        </w:rPr>
        <w:t xml:space="preserve">2.1</w:t>
      </w:r>
      <w:r>
        <w:rPr>
          <w:rFonts w:cs="Times New Roman"/>
          <w:iCs/>
          <w:color w:val="000000"/>
          <w:szCs w:val="28"/>
          <w:lang w:eastAsia="ar-SA"/>
        </w:rPr>
        <w:t xml:space="preserve">.</w:t>
      </w:r>
      <w:r/>
    </w:p>
    <w:p>
      <w:pPr>
        <w:pStyle w:val="1270"/>
        <w:jc w:val="right"/>
      </w:pPr>
      <w:r>
        <w:rPr>
          <w:rFonts w:cs="Times New Roman"/>
          <w:color w:val="000000"/>
          <w:szCs w:val="28"/>
        </w:rPr>
        <w:t xml:space="preserve">Таблица 11.2.1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религиозное использование.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spacing w:line="255" w:lineRule="exac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a933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Вспомогательные</w:t>
            </w:r>
            <w:r/>
          </w:p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a933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szCs w:val="28"/>
          <w:lang w:eastAsia="ru-RU"/>
        </w:rPr>
        <w:t xml:space="preserve">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зоне </w:t>
      </w:r>
      <w:r>
        <w:rPr>
          <w:rStyle w:val="886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 xml:space="preserve">представлены в таблице 11.2.2.</w:t>
      </w:r>
      <w:r/>
    </w:p>
    <w:p>
      <w:pPr>
        <w:pStyle w:val="1270"/>
        <w:jc w:val="right"/>
      </w:pPr>
      <w:r>
        <w:t xml:space="preserve">Таблица 11.2.2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2"/>
        <w:gridCol w:w="1360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</w:tbl>
    <w:p>
      <w:pPr>
        <w:pStyle w:val="1270"/>
        <w:rPr>
          <w:rFonts w:cs="Times New Roman"/>
        </w:rPr>
      </w:pPr>
      <w:r>
        <w:rPr>
          <w:rFonts w:cs="Times New Roman"/>
        </w:rPr>
      </w:r>
      <w:r/>
    </w:p>
    <w:p>
      <w:pPr>
        <w:pStyle w:val="863"/>
        <w:contextualSpacing/>
        <w:rPr>
          <w:shd w:val="clear" w:color="auto" w:fill="auto"/>
        </w:rPr>
      </w:pPr>
      <w:r/>
      <w:bookmarkStart w:id="27" w:name="_Toc16"/>
      <w:r/>
      <w:bookmarkStart w:id="28" w:name="_Toc208237207"/>
      <w:r>
        <w:rPr>
          <w:rFonts w:cs="Times New Roman"/>
          <w:color w:val="000000"/>
          <w:shd w:val="clear" w:color="auto" w:fill="auto"/>
        </w:rPr>
        <w:t xml:space="preserve">Статья 11.3. Производственная зона (</w:t>
      </w:r>
      <w:r>
        <w:rPr>
          <w:rFonts w:cs="Times New Roman"/>
          <w:color w:val="000000"/>
        </w:rPr>
        <w:t xml:space="preserve">3.</w:t>
      </w:r>
      <w:r>
        <w:rPr>
          <w:rFonts w:cs="Times New Roman"/>
          <w:color w:val="000000"/>
          <w:shd w:val="clear" w:color="auto" w:fill="auto"/>
        </w:rPr>
        <w:t xml:space="preserve">1)</w:t>
      </w:r>
      <w:bookmarkEnd w:id="27"/>
      <w:r/>
      <w:bookmarkEnd w:id="28"/>
      <w:r/>
      <w:r/>
    </w:p>
    <w:p>
      <w:pPr>
        <w:pStyle w:val="127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270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 xml:space="preserve"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270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 xml:space="preserve">11.3.1.</w:t>
      </w:r>
      <w:r/>
    </w:p>
    <w:p>
      <w:pPr>
        <w:pStyle w:val="1270"/>
        <w:jc w:val="right"/>
      </w:pPr>
      <w:r>
        <w:t xml:space="preserve">Таблица 11.3.1. 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  <w:p>
            <w:pPr>
              <w:pStyle w:val="129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cs="Times New Roman"/>
              </w:rPr>
            </w:pPr>
            <w:r>
              <w:t xml:space="preserve">пищевая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строительная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энергетика;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связь;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/>
            <w:bookmarkStart w:id="29" w:name="sub_1069"/>
            <w:r>
              <w:t xml:space="preserve">склад</w:t>
            </w:r>
            <w:bookmarkEnd w:id="29"/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железнодорожные пути.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Условно разрешенные виды использования</w:t>
            </w:r>
            <w:r/>
          </w:p>
          <w:p>
            <w:pPr>
              <w:pStyle w:val="129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cs="Times New Roman"/>
                <w:szCs w:val="24"/>
              </w:rPr>
            </w:pPr>
            <w:r>
              <w:t xml:space="preserve">тяжелая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6.2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cs="Times New Roman"/>
                <w:szCs w:val="24"/>
              </w:rPr>
            </w:pPr>
            <w:r>
              <w:t xml:space="preserve">легкая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6.3</w:t>
            </w:r>
            <w:r/>
          </w:p>
        </w:tc>
      </w:tr>
      <w:tr>
        <w:trPr>
          <w:trHeight w:val="2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tabs>
                <w:tab w:val="left" w:pos="1218" w:leader="none"/>
              </w:tabs>
              <w:rPr>
                <w:rFonts w:cs="Times New Roman"/>
                <w:szCs w:val="24"/>
              </w:rPr>
            </w:pPr>
            <w:r>
              <w:t xml:space="preserve">нефтехимическая промышленность.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6.5</w:t>
            </w:r>
            <w:r/>
          </w:p>
        </w:tc>
      </w:tr>
      <w:tr>
        <w:trPr>
          <w:trHeight w:val="14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29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</w:pPr>
      <w:r/>
      <w:r/>
    </w:p>
    <w:p>
      <w:pPr>
        <w:pStyle w:val="1270"/>
      </w:pPr>
      <w:r>
        <w:t xml:space="preserve"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 xml:space="preserve">в таблице 11.3.2.</w:t>
      </w:r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  <w:jc w:val="right"/>
      </w:pPr>
      <w:r>
        <w:t xml:space="preserve">Таблица 11.3.2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02"/>
        <w:gridCol w:w="1102"/>
        <w:gridCol w:w="1470"/>
        <w:gridCol w:w="1841"/>
        <w:gridCol w:w="1341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1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6.5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270"/>
        <w:contextualSpacing/>
      </w:pPr>
      <w:r/>
      <w:r/>
    </w:p>
    <w:p>
      <w:pPr>
        <w:pStyle w:val="863"/>
        <w:contextualSpacing/>
        <w:rPr>
          <w:shd w:val="clear" w:color="auto" w:fill="auto"/>
        </w:rPr>
      </w:pPr>
      <w:r/>
      <w:bookmarkStart w:id="30" w:name="_Toc208237208"/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Статья 11.4.</w:t>
      </w:r>
      <w:r>
        <w:rPr>
          <w:rFonts w:cs="Times New Roman"/>
          <w:color w:val="000000"/>
          <w:shd w:val="clear" w:color="auto" w:fill="auto"/>
        </w:rPr>
        <w:t xml:space="preserve"> Коммунально-складская зона в границах населенных пунктов (3.5)</w:t>
      </w:r>
      <w:bookmarkEnd w:id="30"/>
      <w:r/>
      <w:r/>
    </w:p>
    <w:p>
      <w:pPr>
        <w:pStyle w:val="1270"/>
      </w:pPr>
      <w:r/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Коммунально-складская зона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предназначена для размещени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.</w:t>
      </w:r>
      <w:r/>
    </w:p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оммунально-складской зоне в границах населенных пунктов</w:t>
      </w:r>
      <w:r>
        <w:rPr>
          <w:rFonts w:cs="Times New Roman"/>
          <w:szCs w:val="28"/>
        </w:rPr>
        <w:t xml:space="preserve"> представлены в таблице 11.4.1.</w:t>
      </w:r>
      <w:r/>
    </w:p>
    <w:p>
      <w:pPr>
        <w:pStyle w:val="1270"/>
        <w:jc w:val="right"/>
      </w:pPr>
      <w:r>
        <w:t xml:space="preserve">Таблица 11.4.1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размещение гаражей для собственных нужд;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склад;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складские площадки;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обеспечение внутреннего правопорядка.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</w:tr>
      <w:tr>
        <w:trPr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амбулаторное ветеринарное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3.10.1</w:t>
            </w:r>
            <w:r/>
          </w:p>
        </w:tc>
      </w:tr>
      <w:tr>
        <w:trPr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приюты для животных;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3.10.2</w:t>
            </w:r>
            <w:r/>
          </w:p>
        </w:tc>
      </w:tr>
      <w:tr>
        <w:trPr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объекты дорожного сервиса.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оммунально-складской зоне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в границах населенных пунктов</w:t>
      </w:r>
      <w:r>
        <w:rPr>
          <w:rFonts w:cs="Times New Roman"/>
          <w:color w:val="000000"/>
          <w:szCs w:val="28"/>
        </w:rPr>
        <w:t xml:space="preserve"> представлены в таблице в таблице 11.4.2.</w:t>
      </w:r>
      <w:r/>
    </w:p>
    <w:p>
      <w:pPr>
        <w:pStyle w:val="1270"/>
        <w:jc w:val="right"/>
      </w:pPr>
      <w:r>
        <w:t xml:space="preserve">Таблица 11.4.2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802"/>
        <w:gridCol w:w="1380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2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3.10.1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3.10.2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899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290"/>
              <w:ind w:left="57" w:right="57" w:firstLine="57"/>
              <w:jc w:val="both"/>
              <w:widowControl w:val="off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290"/>
              <w:ind w:left="57" w:right="57" w:firstLine="57"/>
              <w:jc w:val="both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/>
          </w:p>
          <w:p>
            <w:pPr>
              <w:pStyle w:val="1290"/>
              <w:ind w:left="57" w:right="57" w:firstLine="57"/>
              <w:jc w:val="both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1270"/>
        <w:contextualSpacing/>
        <w:rPr>
          <w:color w:val="000000"/>
        </w:rPr>
      </w:pPr>
      <w:r>
        <w:rPr>
          <w:color w:val="000000"/>
        </w:rPr>
      </w:r>
      <w:r/>
    </w:p>
    <w:p>
      <w:pPr>
        <w:pStyle w:val="863"/>
        <w:contextualSpacing/>
      </w:pPr>
      <w:r/>
      <w:bookmarkStart w:id="31" w:name="_Toc20"/>
      <w:r/>
      <w:bookmarkStart w:id="32" w:name="_Toc208237209"/>
      <w:r>
        <w:rPr>
          <w:rFonts w:eastAsia="Times New Roman" w:cs="Times New Roman"/>
        </w:rPr>
        <w:t xml:space="preserve">Статья 11.</w:t>
      </w:r>
      <w:r>
        <w:rPr>
          <w:rFonts w:eastAsia="Times New Roman" w:cs="Times New Roman"/>
          <w:color w:val="000000"/>
        </w:rPr>
        <w:t xml:space="preserve">5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 xml:space="preserve">Производственная зона сельскохозяйственных предприятий (4.4)</w:t>
      </w:r>
      <w:bookmarkEnd w:id="31"/>
      <w:r/>
      <w:bookmarkEnd w:id="32"/>
      <w:r/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270"/>
      </w:pPr>
      <w:r>
        <w:rPr>
          <w:szCs w:val="28"/>
        </w:rPr>
        <w:t xml:space="preserve">1. 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зона сельскохозяйственных предприятий предназначена для размещения объектов сельскохозяйственного назначения, используемых для сод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270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11.5.1.</w:t>
      </w:r>
      <w:r/>
    </w:p>
    <w:p>
      <w:pPr>
        <w:pStyle w:val="1270"/>
      </w:pPr>
      <w:r/>
      <w:r/>
    </w:p>
    <w:p>
      <w:pPr>
        <w:pStyle w:val="1270"/>
      </w:pPr>
      <w:r/>
      <w:r/>
    </w:p>
    <w:p>
      <w:pPr>
        <w:pStyle w:val="1270"/>
        <w:jc w:val="right"/>
      </w:pPr>
      <w:r>
        <w:t xml:space="preserve">Таблица 11.5.1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животноводство;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1.7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хранение и переработка сельскохозяйственной продукции;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1.15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питомники;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1.17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обеспечение сельскохозяйственного производства.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выращивание зерновых и иных сельскохозяйственных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овощеводство;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выращивание тонизирующих, лекарственных, цветочных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садоводство;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выращивание льна и конопли;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пчеловодство;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рыбоводство;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научное обеспечение сельского хозяйства.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1.14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spacing w:line="255" w:lineRule="exact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290"/>
              <w:spacing w:line="255" w:lineRule="exact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11.5.2.</w:t>
      </w:r>
      <w:r/>
    </w:p>
    <w:p>
      <w:pPr>
        <w:pStyle w:val="1270"/>
        <w:jc w:val="right"/>
      </w:pPr>
      <w:r>
        <w:t xml:space="preserve">Таблица 11.5.2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4"/>
        <w:gridCol w:w="1368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270"/>
        <w:rPr>
          <w:color w:val="000000"/>
        </w:rPr>
      </w:pPr>
      <w:r>
        <w:rPr>
          <w:color w:val="000000"/>
        </w:rPr>
      </w:r>
      <w:r/>
    </w:p>
    <w:p>
      <w:pPr>
        <w:pStyle w:val="863"/>
        <w:rPr>
          <w:color w:val="000000"/>
        </w:rPr>
      </w:pPr>
      <w:r/>
      <w:bookmarkStart w:id="33" w:name="_Toc201"/>
      <w:r/>
      <w:bookmarkStart w:id="34" w:name="_Toc208237210"/>
      <w:r>
        <w:rPr>
          <w:rFonts w:cs="Times New Roman"/>
          <w:color w:val="000000"/>
        </w:rPr>
        <w:t xml:space="preserve">Статья 11.6. Иная зона сельскохозяйственного назначения (4.5)</w:t>
      </w:r>
      <w:bookmarkEnd w:id="33"/>
      <w:r/>
      <w:bookmarkEnd w:id="34"/>
      <w:r/>
      <w:r/>
    </w:p>
    <w:p>
      <w:pPr>
        <w:pStyle w:val="127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  <w:r/>
    </w:p>
    <w:p>
      <w:pPr>
        <w:pStyle w:val="1270"/>
        <w:rPr>
          <w:color w:val="000000"/>
        </w:rPr>
      </w:pPr>
      <w:r>
        <w:rPr>
          <w:color w:val="000000"/>
          <w:szCs w:val="28"/>
        </w:rPr>
        <w:t xml:space="preserve">1. Иная зона сельскохозяйственного назначения предназначена для вы</w:t>
      </w:r>
      <w:r>
        <w:rPr>
          <w:color w:val="000000"/>
          <w:szCs w:val="28"/>
        </w:rPr>
        <w:t xml:space="preserve">ращивания сельскохозяйственных культур, размещения объектов сельскохозяйственного назначения, используемых для хранения и первичной переработки сельскохозяйственной продукции, сенокошения, выпаса сельскохозяйственных животных в границах населенных пунктов.</w:t>
      </w:r>
      <w:r/>
    </w:p>
    <w:p>
      <w:pPr>
        <w:pStyle w:val="1270"/>
        <w:rPr>
          <w:color w:val="000000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иной зоне сельскохозяйственного назначения</w:t>
      </w:r>
      <w:r>
        <w:rPr>
          <w:rFonts w:cs="Times New Roman"/>
          <w:color w:val="000000"/>
          <w:szCs w:val="28"/>
        </w:rPr>
        <w:t xml:space="preserve"> представлены в таблице 11.6.1.</w:t>
      </w:r>
      <w:r/>
    </w:p>
    <w:p>
      <w:pPr>
        <w:pStyle w:val="1270"/>
        <w:jc w:val="right"/>
        <w:rPr>
          <w:color w:val="000000"/>
        </w:rPr>
      </w:pPr>
      <w:r>
        <w:rPr>
          <w:rFonts w:cs="Times New Roman"/>
          <w:color w:val="000000"/>
          <w:szCs w:val="28"/>
        </w:rPr>
        <w:t xml:space="preserve">Таблица 11.6.1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40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растениеводство;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</w:t>
            </w:r>
            <w:r/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сенокошение;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1.19</w:t>
            </w:r>
            <w:r/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rPr>
                <w:color w:val="000000"/>
              </w:rPr>
              <w:t xml:space="preserve">выпас сельскохозяйственных животных.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57"/>
              <w:jc w:val="center"/>
              <w:widowControl w:val="off"/>
            </w:pPr>
            <w:r>
              <w:t xml:space="preserve">1.20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хранение и переработка сельскохозяйственной продукции.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270"/>
        <w:rPr>
          <w:color w:val="000000"/>
        </w:rPr>
      </w:pPr>
      <w:r>
        <w:rPr>
          <w:color w:val="000000"/>
        </w:rPr>
        <w:t xml:space="preserve">3.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</w:rPr>
        <w:t xml:space="preserve"> и предельные параметры разрешенного строительства, реконструкции объектов капитального строительства в иной зоне сельскохозяйственного назначения представлены в таблице 11.6.2.</w:t>
      </w:r>
      <w:r/>
    </w:p>
    <w:p>
      <w:pPr>
        <w:pStyle w:val="1270"/>
        <w:jc w:val="right"/>
        <w:rPr>
          <w:color w:val="000000"/>
        </w:rPr>
      </w:pPr>
      <w:r>
        <w:rPr>
          <w:color w:val="000000"/>
        </w:rPr>
        <w:t xml:space="preserve">Таблица 11.6.2</w:t>
      </w:r>
      <w:r/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815"/>
        <w:gridCol w:w="1311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270"/>
        <w:contextualSpacing/>
        <w:ind w:firstLine="0"/>
        <w:keepLines/>
        <w:keepNext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  <w:r/>
    </w:p>
    <w:p>
      <w:pPr>
        <w:pStyle w:val="863"/>
        <w:rPr>
          <w:rFonts w:cs="Times New Roman"/>
        </w:rPr>
      </w:pPr>
      <w:r/>
      <w:bookmarkStart w:id="35" w:name="_Toc23"/>
      <w:r/>
      <w:bookmarkStart w:id="36" w:name="_Toc208237211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7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 xml:space="preserve">Зона озелененных территорий специального</w:t>
      </w:r>
      <w:r>
        <w:rPr>
          <w:rFonts w:cs="Times New Roman"/>
          <w:color w:val="000000"/>
          <w:shd w:val="clear" w:color="auto" w:fill="auto"/>
        </w:rPr>
        <w:br/>
        <w:t xml:space="preserve">назначения (5.6)</w:t>
      </w:r>
      <w:bookmarkEnd w:id="35"/>
      <w:r/>
      <w:bookmarkEnd w:id="36"/>
      <w:r/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270"/>
      </w:pPr>
      <w:r>
        <w:rPr>
          <w:rStyle w:val="886"/>
          <w:rFonts w:eastAsia="Times New Roman" w:cs="Times New Roman"/>
          <w:szCs w:val="28"/>
          <w:lang w:eastAsia="ru-RU"/>
        </w:rPr>
        <w:t xml:space="preserve"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  <w:r/>
    </w:p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11.7.1.</w:t>
      </w:r>
      <w:r/>
    </w:p>
    <w:p>
      <w:pPr>
        <w:pStyle w:val="1270"/>
        <w:jc w:val="right"/>
        <w:rPr>
          <w:rFonts w:cs="Times New Roman"/>
          <w:szCs w:val="28"/>
        </w:rPr>
      </w:pPr>
      <w:r/>
      <w:bookmarkStart w:id="37" w:name="_GoBack"/>
      <w:r/>
      <w:bookmarkEnd w:id="37"/>
      <w:r>
        <w:rPr>
          <w:rFonts w:cs="Times New Roman"/>
          <w:szCs w:val="28"/>
        </w:rPr>
        <w:t xml:space="preserve">Таблица 11.7.1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7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5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7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63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5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>
          <w:trHeight w:val="5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</w:pPr>
      <w:r>
        <w:rPr>
          <w:rFonts w:cs="Times New Roman"/>
          <w:szCs w:val="28"/>
        </w:rPr>
        <w:t xml:space="preserve"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 xml:space="preserve">зон</w:t>
      </w:r>
      <w:r>
        <w:rPr>
          <w:rFonts w:cs="Times New Roman"/>
          <w:szCs w:val="28"/>
          <w:lang w:eastAsia="ar-SA"/>
        </w:rPr>
        <w:t xml:space="preserve"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11.7.2.</w:t>
      </w:r>
      <w:r/>
    </w:p>
    <w:p>
      <w:pPr>
        <w:pStyle w:val="1270"/>
        <w:jc w:val="righ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ar-SA"/>
        </w:rPr>
        <w:t xml:space="preserve">Таблица 11.7.2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76"/>
        <w:gridCol w:w="1019"/>
        <w:gridCol w:w="1126"/>
        <w:gridCol w:w="1080"/>
        <w:gridCol w:w="1330"/>
        <w:gridCol w:w="1969"/>
        <w:gridCol w:w="1458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pStyle w:val="1290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Код</w:t>
            </w:r>
            <w:r/>
          </w:p>
          <w:p>
            <w:pPr>
              <w:pStyle w:val="1290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вида раз-</w:t>
            </w:r>
            <w:r/>
          </w:p>
          <w:p>
            <w:pPr>
              <w:pStyle w:val="1290"/>
              <w:ind w:right="28"/>
              <w:jc w:val="center"/>
              <w:widowControl w:val="off"/>
            </w:pPr>
            <w:r>
              <w:rPr>
                <w:szCs w:val="24"/>
              </w:rPr>
              <w:t xml:space="preserve">решен-</w:t>
            </w:r>
            <w:r>
              <w:rPr>
                <w:szCs w:val="24"/>
              </w:rPr>
              <w:t xml:space="preserve">ного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земельного 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от границ земельного участка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9" w:type="dxa"/>
            <w:vAlign w:val="center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dxa"/>
            <w:vMerge w:val="restart"/>
            <w:textDirection w:val="lrTb"/>
            <w:noWrap w:val="false"/>
          </w:tcPr>
          <w:p>
            <w:pPr>
              <w:pStyle w:val="1290"/>
              <w:ind w:left="-28"/>
              <w:jc w:val="center"/>
              <w:widowControl w:val="off"/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418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0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  <w:tblHeader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6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6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27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63"/>
      </w:pPr>
      <w:r/>
      <w:bookmarkStart w:id="38" w:name="_Toc24"/>
      <w:r/>
      <w:bookmarkStart w:id="39" w:name="_Toc208237212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8</w:t>
      </w:r>
      <w:r>
        <w:rPr>
          <w:rFonts w:cs="Times New Roman"/>
        </w:rPr>
        <w:t xml:space="preserve">. Зона кладбищ (</w:t>
      </w:r>
      <w:r>
        <w:rPr>
          <w:rFonts w:cs="Times New Roman"/>
          <w:color w:val="000000"/>
        </w:rPr>
        <w:t xml:space="preserve">6.</w:t>
      </w:r>
      <w:r>
        <w:rPr>
          <w:rFonts w:cs="Times New Roman"/>
        </w:rPr>
        <w:t xml:space="preserve">1)</w:t>
      </w:r>
      <w:bookmarkEnd w:id="38"/>
      <w:r/>
      <w:bookmarkEnd w:id="39"/>
      <w:r/>
      <w:r/>
    </w:p>
    <w:p>
      <w:pPr>
        <w:pStyle w:val="127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  <w:r/>
    </w:p>
    <w:p>
      <w:pPr>
        <w:pStyle w:val="1270"/>
      </w:pPr>
      <w:r>
        <w:t xml:space="preserve">1. </w:t>
      </w:r>
      <w:r>
        <w:rPr>
          <w:rFonts w:eastAsia="Times New Roman"/>
          <w:szCs w:val="28"/>
          <w:lang w:eastAsia="ru-RU"/>
        </w:rPr>
        <w:t xml:space="preserve"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270"/>
      </w:pPr>
      <w:r>
        <w:rPr>
          <w:rFonts w:eastAsia="Times New Roman" w:cs="Times New Roman"/>
          <w:szCs w:val="28"/>
          <w:lang w:eastAsia="ru-RU"/>
        </w:rPr>
        <w:t xml:space="preserve"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11.8.1.</w:t>
      </w:r>
      <w:r/>
    </w:p>
    <w:p>
      <w:pPr>
        <w:pStyle w:val="1270"/>
        <w:jc w:val="right"/>
      </w:pPr>
      <w:r>
        <w:t xml:space="preserve">Таблица 11.8.1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ритуальная деятельность.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29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290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</w:pPr>
      <w:r>
        <w:rPr>
          <w:rFonts w:cs="Times New Roman"/>
          <w:szCs w:val="28"/>
        </w:rPr>
        <w:t xml:space="preserve"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11.8.2.</w:t>
      </w:r>
      <w:r/>
    </w:p>
    <w:p>
      <w:pPr>
        <w:pStyle w:val="1270"/>
        <w:jc w:val="right"/>
      </w:pPr>
      <w:r/>
      <w:r/>
    </w:p>
    <w:p>
      <w:pPr>
        <w:pStyle w:val="1270"/>
        <w:jc w:val="right"/>
      </w:pPr>
      <w:r>
        <w:t xml:space="preserve">Таблица 11.8.2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2"/>
        <w:gridCol w:w="1360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100000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270"/>
        <w:rPr>
          <w:szCs w:val="28"/>
        </w:rPr>
      </w:pPr>
      <w:r>
        <w:rPr>
          <w:szCs w:val="28"/>
        </w:rPr>
      </w:r>
      <w:r/>
    </w:p>
    <w:p>
      <w:pPr>
        <w:pStyle w:val="863"/>
        <w:ind w:firstLine="567"/>
        <w:rPr>
          <w:rFonts w:cs="Times New Roman"/>
        </w:rPr>
      </w:pPr>
      <w:r/>
      <w:bookmarkStart w:id="40" w:name="_Toc208237213"/>
      <w:r>
        <w:rPr>
          <w:rFonts w:cs="Times New Roman"/>
          <w:color w:val="000000"/>
          <w:shd w:val="clear" w:color="auto" w:fill="auto"/>
        </w:rPr>
        <w:t xml:space="preserve">Статья 11.</w:t>
      </w:r>
      <w:r>
        <w:rPr>
          <w:rFonts w:cs="Times New Roman"/>
          <w:color w:val="000000"/>
        </w:rPr>
        <w:t xml:space="preserve">9</w:t>
      </w:r>
      <w:r>
        <w:rPr>
          <w:rFonts w:cs="Times New Roman"/>
          <w:color w:val="000000"/>
          <w:shd w:val="clear" w:color="auto" w:fill="auto"/>
        </w:rPr>
        <w:t xml:space="preserve">. Зона складирования и захоронения отходов (6.3)</w:t>
      </w:r>
      <w:bookmarkEnd w:id="40"/>
      <w:r/>
      <w:r/>
    </w:p>
    <w:p>
      <w:pPr>
        <w:rPr>
          <w:rFonts w:cs="Times New Roman"/>
        </w:rPr>
      </w:pPr>
      <w:r>
        <w:rPr>
          <w:rFonts w:cs="Times New Roman"/>
        </w:rPr>
      </w:r>
      <w:r/>
    </w:p>
    <w:p>
      <w:pPr>
        <w:rPr>
          <w:rFonts w:cs="Times New Roman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 xml:space="preserve">Зона складирования и захоронения отхо</w:t>
      </w:r>
      <w:r>
        <w:rPr>
          <w:rFonts w:cs="Times New Roman"/>
          <w:color w:val="000000"/>
          <w:sz w:val="28"/>
          <w:szCs w:val="28"/>
        </w:rPr>
        <w:t xml:space="preserve">дов предназначена для размещения, хранения, захоронения,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2.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11.</w:t>
      </w:r>
      <w:r>
        <w:rPr>
          <w:rFonts w:cs="Times New Roman"/>
          <w:color w:val="000000"/>
          <w:sz w:val="28"/>
          <w:szCs w:val="28"/>
        </w:rPr>
        <w:t xml:space="preserve">9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cs="Times New Roman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jc w:val="right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Таблица 11.</w:t>
      </w:r>
      <w:r>
        <w:rPr>
          <w:color w:val="000000"/>
          <w:sz w:val="28"/>
        </w:rPr>
        <w:t xml:space="preserve">9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782"/>
        <w:gridCol w:w="172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2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82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специальная деятельность.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12.2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82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Вспомогательные</w:t>
            </w:r>
            <w:r/>
          </w:p>
          <w:p>
            <w:pPr>
              <w:pStyle w:val="129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82" w:type="dxa"/>
            <w:textDirection w:val="lrTb"/>
            <w:noWrap w:val="false"/>
          </w:tcPr>
          <w:p>
            <w:pPr>
              <w:pStyle w:val="1290"/>
              <w:widowControl w:val="off"/>
              <w:rPr>
                <w:rFonts w:cs="Times New Roman"/>
                <w:szCs w:val="24"/>
              </w:rPr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rFonts w:cs="Times New Roman"/>
          <w:szCs w:val="28"/>
        </w:rPr>
        <w:t xml:space="preserve">3. 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зоне складирования и захоронения отходов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cs="Times New Roman"/>
          <w:color w:val="000000"/>
          <w:szCs w:val="28"/>
        </w:rPr>
        <w:t xml:space="preserve">11.9.2.</w:t>
      </w:r>
      <w:r/>
    </w:p>
    <w:p>
      <w:pPr>
        <w:pStyle w:val="1270"/>
        <w:jc w:val="right"/>
      </w:pPr>
      <w:r/>
      <w:r/>
    </w:p>
    <w:p>
      <w:pPr>
        <w:pStyle w:val="1270"/>
        <w:jc w:val="right"/>
      </w:pPr>
      <w:r/>
      <w:r/>
    </w:p>
    <w:p>
      <w:pPr>
        <w:pStyle w:val="1270"/>
        <w:jc w:val="right"/>
      </w:pPr>
      <w:r>
        <w:rPr>
          <w:rFonts w:cs="Times New Roman"/>
          <w:szCs w:val="28"/>
        </w:rPr>
        <w:t xml:space="preserve">Таблица 11.</w:t>
      </w:r>
      <w:r>
        <w:t xml:space="preserve">9</w:t>
      </w:r>
      <w:r>
        <w:rPr>
          <w:rFonts w:cs="Times New Roman"/>
          <w:szCs w:val="28"/>
        </w:rPr>
        <w:t xml:space="preserve">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21"/>
        <w:gridCol w:w="1361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1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290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pStyle w:val="1290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270"/>
      </w:pPr>
      <w:r/>
      <w:r/>
    </w:p>
    <w:p>
      <w:pPr>
        <w:pStyle w:val="1270"/>
      </w:pPr>
      <w:r/>
      <w:r/>
    </w:p>
    <w:p>
      <w:pPr>
        <w:pStyle w:val="863"/>
      </w:pPr>
      <w:r/>
      <w:bookmarkStart w:id="41" w:name="_Toc26"/>
      <w:r/>
      <w:bookmarkStart w:id="42" w:name="_Toc208237214"/>
      <w:r>
        <w:rPr>
          <w:rFonts w:cs="Times New Roman"/>
        </w:rPr>
        <w:t xml:space="preserve"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 xml:space="preserve">не устанавливаются</w:t>
      </w:r>
      <w:bookmarkEnd w:id="41"/>
      <w:r/>
      <w:bookmarkEnd w:id="42"/>
      <w:r/>
      <w:r/>
    </w:p>
    <w:p>
      <w:pPr>
        <w:pStyle w:val="12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1270"/>
        <w:rPr>
          <w:color w:val="000000"/>
          <w:highlight w:val="none"/>
        </w:rPr>
      </w:pPr>
      <w:r>
        <w:rPr>
          <w:rFonts w:eastAsia="Times New Roman" w:cs="Times New Roman"/>
          <w:spacing w:val="5"/>
          <w:szCs w:val="28"/>
        </w:rPr>
        <w:t xml:space="preserve"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cs="Times New Roman"/>
          <w:color w:val="000000"/>
          <w:spacing w:val="5"/>
          <w:szCs w:val="32"/>
        </w:rPr>
        <w:t xml:space="preserve">Касимовский</w:t>
      </w:r>
      <w:r>
        <w:rPr>
          <w:rFonts w:cs="Times New Roman"/>
          <w:color w:val="000000"/>
          <w:spacing w:val="5"/>
          <w:szCs w:val="32"/>
        </w:rPr>
        <w:t xml:space="preserve"> муниципальный округ Рязанской области применительно к территории </w:t>
      </w:r>
      <w:r>
        <w:rPr>
          <w:rFonts w:cs="Times New Roman"/>
          <w:color w:val="000000"/>
          <w:spacing w:val="5"/>
          <w:szCs w:val="32"/>
        </w:rPr>
        <w:t xml:space="preserve">Булгаковского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 </w:t>
      </w:r>
      <w:r>
        <w:rPr>
          <w:rFonts w:cs="Times New Roman"/>
          <w:color w:val="000000"/>
          <w:spacing w:val="5"/>
          <w:szCs w:val="28"/>
        </w:rPr>
        <w:t xml:space="preserve">выделены земли</w:t>
      </w:r>
      <w:r>
        <w:rPr>
          <w:color w:val="000000"/>
          <w:spacing w:val="5"/>
          <w:szCs w:val="28"/>
        </w:rPr>
        <w:t xml:space="preserve"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  <w:r/>
    </w:p>
    <w:p>
      <w:pPr>
        <w:pStyle w:val="1270"/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1270"/>
        <w:jc w:val="right"/>
      </w:pPr>
      <w:r>
        <w:t xml:space="preserve">Таблица 12.1</w:t>
      </w:r>
      <w:r/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9"/>
      </w:tblGrid>
      <w:tr>
        <w:trPr>
          <w:trHeight w:val="682"/>
          <w:tblHeader/>
        </w:trPr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290"/>
              <w:jc w:val="center"/>
              <w:widowControl w:val="off"/>
            </w:pPr>
            <w:r>
              <w:t xml:space="preserve">земель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Наименование земель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4445</wp:posOffset>
                      </wp:positionV>
                      <wp:extent cx="753110" cy="356870"/>
                      <wp:effectExtent l="5080" t="5715" r="5080" b="4445"/>
                      <wp:wrapNone/>
                      <wp:docPr id="38" name="Врезка1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2400" cy="35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CBC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7" o:spid="_x0000_s37" o:spt="1" type="#_x0000_t1" style="position:absolute;z-index:25;o:allowoverlap:true;o:allowincell:true;mso-position-horizontal-relative:text;margin-left:34.9pt;mso-position-horizontal:absolute;mso-position-vertical-relative:text;margin-top:0.3pt;mso-position-vertical:absolute;width:59.3pt;height:28.1pt;mso-wrap-distance-left:0.0pt;mso-wrap-distance-top:0.0pt;mso-wrap-distance-right:0.0pt;mso-wrap-distance-bottom:0.0pt;visibility:visible;" fillcolor="#FABCBC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особо охраняемых природных территорий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-3810</wp:posOffset>
                      </wp:positionV>
                      <wp:extent cx="751205" cy="354965"/>
                      <wp:effectExtent l="5715" t="5080" r="4445" b="5080"/>
                      <wp:wrapNone/>
                      <wp:docPr id="3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8" o:spid="_x0000_s38" o:spt="1" type="#_x0000_t1" style="position:absolute;z-index:3;o:allowoverlap:true;o:allowincell:true;mso-position-horizontal-relative:text;margin-left:34.9pt;mso-position-horizontal:absolute;mso-position-vertical-relative:text;margin-top:-0.3pt;mso-position-vertical:absolute;width:59.1pt;height:27.9pt;mso-wrap-distance-left:0.0pt;mso-wrap-distance-top:0.0pt;mso-wrap-distance-right:0.0pt;mso-wrap-distance-bottom:0.0pt;visibility:visible;" fillcolor="#D0E0A0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лесного фонда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4445</wp:posOffset>
                      </wp:positionV>
                      <wp:extent cx="753110" cy="356870"/>
                      <wp:effectExtent l="5080" t="5715" r="5080" b="4445"/>
                      <wp:wrapNone/>
                      <wp:docPr id="40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2400" cy="35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F3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9" o:spid="_x0000_s39" o:spt="1" type="#_x0000_t1" style="position:absolute;z-index:24;o:allowoverlap:true;o:allowincell:true;mso-position-horizontal-relative:text;margin-left:34.9pt;mso-position-horizontal:absolute;mso-position-vertical-relative:text;margin-top:0.3pt;mso-position-vertical:absolute;width:59.3pt;height:28.1pt;mso-wrap-distance-left:0.0pt;mso-wrap-distance-top:0.0pt;mso-wrap-distance-right:0.0pt;mso-wrap-distance-bottom:0.0pt;visibility:visible;" fillcolor="#FFC0F3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запаса</w:t>
            </w:r>
            <w:r/>
          </w:p>
        </w:tc>
      </w:tr>
      <w:tr>
        <w:trPr>
          <w:trHeight w:val="680"/>
        </w:trPr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4445</wp:posOffset>
                      </wp:positionV>
                      <wp:extent cx="751205" cy="354965"/>
                      <wp:effectExtent l="5080" t="5715" r="5080" b="4445"/>
                      <wp:wrapNone/>
                      <wp:docPr id="41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0600" cy="35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0" o:spid="_x0000_s40" o:spt="1" type="#_x0000_t1" style="position:absolute;z-index:4;o:allowoverlap:true;o:allowincell:true;mso-position-horizontal-relative:text;margin-left:34.9pt;mso-position-horizontal:absolute;mso-position-vertical-relative:text;margin-top:0.3pt;mso-position-vertical:absolute;width:59.1pt;height:27.9pt;mso-wrap-distance-left:0.0pt;mso-wrap-distance-top:0.0pt;mso-wrap-distance-right:0.0pt;mso-wrap-distance-bottom:0.0pt;visibility:visible;" fillcolor="#C4E6B2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ind w:left="57" w:firstLine="0"/>
              <w:jc w:val="left"/>
              <w:spacing w:before="100" w:after="100"/>
              <w:widowControl w:val="off"/>
            </w:pPr>
            <w:r>
              <w:t xml:space="preserve">Земли сельскохозяйственных угодий</w:t>
            </w:r>
            <w:r/>
          </w:p>
        </w:tc>
      </w:tr>
    </w:tbl>
    <w:p>
      <w:pPr>
        <w:pStyle w:val="1270"/>
      </w:pPr>
      <w:r>
        <w:rPr>
          <w:rFonts w:eastAsia="Times New Roman" w:cs="Times New Roman"/>
          <w:bCs/>
          <w:spacing w:val="2"/>
          <w:szCs w:val="28"/>
          <w:highlight w:val="none"/>
          <w:lang w:eastAsia="ru-RU"/>
        </w:rPr>
      </w:r>
      <w:r>
        <w:rPr>
          <w:rFonts w:eastAsia="Times New Roman" w:cs="Times New Roman"/>
          <w:bCs/>
          <w:spacing w:val="2"/>
          <w:szCs w:val="28"/>
          <w:highlight w:val="none"/>
          <w:lang w:eastAsia="ru-RU"/>
        </w:rPr>
      </w:r>
    </w:p>
    <w:p>
      <w:pPr>
        <w:pStyle w:val="1270"/>
        <w:rPr>
          <w:rFonts w:eastAsia="Times New Roman" w:cs="Times New Roman"/>
          <w:spacing w:val="2"/>
          <w:highlight w:val="none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особо охраняемых природных территорий, лесного фонда, </w:t>
      </w:r>
      <w:r>
        <w:rPr>
          <w:rFonts w:eastAsia="Times New Roman" w:cs="Times New Roman"/>
          <w:bCs/>
          <w:szCs w:val="28"/>
          <w:lang w:eastAsia="ru-RU"/>
        </w:rPr>
        <w:t xml:space="preserve"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 xml:space="preserve">.</w:t>
      </w:r>
      <w:r/>
    </w:p>
    <w:p>
      <w:pPr>
        <w:pStyle w:val="1270"/>
      </w:pP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3. Согласно части 7 статьи 36 Градостроительного кодекса Российской Федерации использование земельных участков, для которых градостроительные регламенты не устанавливаются, определяется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 уполномоченными федеральными органами исполнительной власти,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законами. Использование земель или земе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льных участков из состава земель лесного фонда, земель или земельных участков, расположенных в границах особо охраняемых природных территорий, определяется соответственно лесохозяйственным регламентом, положением об особо охраняемой природной территории в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соответствии с лесным законодательством, законодательством об особо охраняемых природных территориях.</w:t>
      </w:r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</w:pPr>
      <w:r/>
      <w:bookmarkStart w:id="43" w:name="_Toc27"/>
      <w:r/>
      <w:bookmarkStart w:id="44" w:name="_Toc208237215"/>
      <w:r>
        <w:rPr>
          <w:rFonts w:cs="Times New Roman"/>
          <w:color w:val="000000"/>
          <w:shd w:val="clear" w:color="auto" w:fill="auto"/>
        </w:rPr>
        <w:t xml:space="preserve">Статья 13. Требования к архитектурно-градостроительному облику объектов капитального строительства</w:t>
      </w:r>
      <w:bookmarkEnd w:id="43"/>
      <w:r/>
      <w:bookmarkEnd w:id="44"/>
      <w:r/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На территории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муниципального округа Рязанской области применительно к территории </w:t>
      </w:r>
      <w:r>
        <w:rPr>
          <w:rFonts w:cs="Times New Roman"/>
          <w:color w:val="000000"/>
          <w:spacing w:val="5"/>
          <w:szCs w:val="32"/>
        </w:rPr>
        <w:t xml:space="preserve">Булгаковского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</w:t>
      </w:r>
      <w:r>
        <w:rPr>
          <w:rFonts w:cs="Times New Roman"/>
          <w:color w:val="000000"/>
          <w:szCs w:val="28"/>
        </w:rPr>
        <w:t xml:space="preserve"> не предусмотрено требований к архитектурно-градостроительному облику объектов капитального строительства. </w:t>
      </w:r>
      <w:r>
        <w:rPr>
          <w:rFonts w:cs="Times New Roman"/>
          <w:color w:val="000000"/>
          <w:szCs w:val="28"/>
        </w:rPr>
        <w:t xml:space="preserve">В связи с этим требования к архитектурно-градостроительному облику объектов капитального строительства в соответствии с пунктом</w:t>
      </w:r>
      <w:r>
        <w:rPr>
          <w:rFonts w:cs="Times New Roman"/>
          <w:color w:val="000000"/>
          <w:szCs w:val="28"/>
        </w:rPr>
        <w:t xml:space="preserve"> 2.1 части 6 статьи 30 Градостроительного кодекса Российской Федерации не устанавливаются.</w:t>
      </w:r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</w:pPr>
      <w:r/>
      <w:bookmarkStart w:id="45" w:name="_Toc28"/>
      <w:r/>
      <w:bookmarkStart w:id="46" w:name="_Toc208237216"/>
      <w:r>
        <w:rPr>
          <w:rFonts w:cs="Times New Roman"/>
          <w:color w:val="000000"/>
          <w:shd w:val="clear" w:color="auto" w:fill="auto"/>
        </w:rPr>
        <w:t xml:space="preserve">Статья 14</w:t>
      </w:r>
      <w:r>
        <w:rPr>
          <w:rFonts w:cs="Times New Roman"/>
          <w:color w:val="000000"/>
          <w:shd w:val="clear" w:color="auto" w:fill="auto"/>
        </w:rPr>
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5"/>
      <w:r/>
      <w:bookmarkEnd w:id="46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  <w:numPr>
          <w:ilvl w:val="0"/>
          <w:numId w:val="1"/>
        </w:numPr>
        <w:contextualSpacing/>
        <w:ind w:firstLine="709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Расчетные показатели 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 xml:space="preserve">м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 коммунальной, транспортной, социальной ин</w:t>
      </w:r>
      <w:r>
        <w:rPr>
          <w:rFonts w:eastAsia="Times New Roman" w:cs="Times New Roman"/>
          <w:bCs/>
          <w:color w:val="000000"/>
          <w:spacing w:val="4"/>
          <w:szCs w:val="28"/>
          <w:shd w:val="clear" w:color="auto" w:fill="ffffff"/>
          <w:lang w:bidi="ru-RU"/>
        </w:rPr>
        <w:t xml:space="preserve"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, представлены в таблице</w:t>
      </w:r>
      <w:r>
        <w:rPr>
          <w:rFonts w:eastAsia="Arial" w:cs="Times New Roman"/>
          <w:color w:val="000000"/>
          <w:spacing w:val="4"/>
          <w:szCs w:val="28"/>
        </w:rPr>
        <w:t xml:space="preserve"> в таблице 14.1.</w:t>
      </w:r>
      <w:r/>
    </w:p>
    <w:p>
      <w:pPr>
        <w:pStyle w:val="1270"/>
        <w:numPr>
          <w:ilvl w:val="0"/>
          <w:numId w:val="1"/>
        </w:numPr>
        <w:contextualSpacing/>
        <w:ind w:firstLine="709"/>
        <w:jc w:val="right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Таблица 14.1</w:t>
      </w:r>
      <w:r/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3005"/>
        <w:gridCol w:w="3005"/>
      </w:tblGrid>
      <w:tr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Наименование 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Значение расчетного показателя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270"/>
              <w:numPr>
                <w:ilvl w:val="0"/>
                <w:numId w:val="1"/>
              </w:numPr>
              <w:contextualSpacing/>
              <w:jc w:val="center"/>
              <w:widowControl w:val="off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Минимально допустимый уровень обеспеченности территории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270"/>
              <w:numPr>
                <w:ilvl w:val="0"/>
                <w:numId w:val="1"/>
              </w:numPr>
              <w:contextualSpacing/>
              <w:jc w:val="center"/>
              <w:widowControl w:val="off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rPr>
          <w:trHeight w:val="6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Дошкольные 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25 места 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szCs w:val="24"/>
              </w:rPr>
              <w:t xml:space="preserve">1000 м*</w:t>
            </w:r>
            <w:r/>
          </w:p>
        </w:tc>
      </w:tr>
      <w:tr>
        <w:trPr>
          <w:trHeight w:val="624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Общеобразовательные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организации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112 места 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1000 м*</w:t>
            </w:r>
            <w:r/>
          </w:p>
        </w:tc>
      </w:tr>
      <w:tr>
        <w:trPr>
          <w:trHeight w:val="12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*</w:t>
            </w:r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268"/>
                <w:color w:val="000000"/>
                <w:szCs w:val="24"/>
              </w:rPr>
              <w:t xml:space="preserve">12 </w:t>
            </w:r>
            <w:r>
              <w:rPr>
                <w:rStyle w:val="1268"/>
                <w:color w:val="000000"/>
                <w:szCs w:val="24"/>
              </w:rPr>
              <w:t xml:space="preserve">кв</w:t>
            </w:r>
            <w:r>
              <w:rPr>
                <w:rStyle w:val="1268"/>
                <w:color w:val="000000"/>
                <w:szCs w:val="24"/>
              </w:rPr>
              <w:t xml:space="preserve">.м</w:t>
            </w:r>
            <w:r>
              <w:rPr>
                <w:rStyle w:val="1268"/>
                <w:color w:val="000000"/>
                <w:szCs w:val="24"/>
              </w:rPr>
              <w:t xml:space="preserve">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15 минут пешеходной доступности</w:t>
            </w:r>
            <w:r/>
          </w:p>
        </w:tc>
      </w:tr>
      <w:tr>
        <w:trPr>
          <w:trHeight w:val="14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  <w:szCs w:val="24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на территори</w:t>
            </w:r>
            <w:r>
              <w:rPr>
                <w:color w:val="000000"/>
                <w:szCs w:val="24"/>
              </w:rPr>
              <w:t xml:space="preserve">ях общего пользования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0,6 </w:t>
            </w:r>
            <w:r>
              <w:t xml:space="preserve">кв</w:t>
            </w:r>
            <w:r>
              <w:t xml:space="preserve">.м</w:t>
            </w:r>
            <w:r>
              <w:t xml:space="preserve">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800 м</w:t>
            </w:r>
            <w:r/>
          </w:p>
        </w:tc>
      </w:tr>
      <w:tr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для обеспеченности населения многоквартирного жилого дома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1 </w:t>
            </w:r>
            <w:r>
              <w:t xml:space="preserve">машино</w:t>
            </w:r>
            <w:r>
              <w:t xml:space="preserve">-место на 86 </w:t>
            </w:r>
            <w:r>
              <w:t xml:space="preserve">кв</w:t>
            </w:r>
            <w:r>
              <w:t xml:space="preserve">.м</w:t>
            </w:r>
            <w:r/>
          </w:p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общей площади квартир</w:t>
            </w:r>
            <w:r>
              <w:rPr>
                <w:rFonts w:eastAsia="Times New Roman" w:cs="Times New Roman"/>
              </w:rPr>
              <w:t xml:space="preserve">*</w:t>
            </w:r>
            <w:r>
              <w:rPr>
                <w:rFonts w:eastAsia="Times New Roman" w:cs="Times New Roman"/>
                <w:vertAlign w:val="superscript"/>
              </w:rPr>
              <w:t xml:space="preserve">4</w:t>
            </w:r>
            <w:r/>
          </w:p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268"/>
                <w:color w:val="000000"/>
                <w:szCs w:val="24"/>
              </w:rPr>
              <w:t xml:space="preserve">в границах земельного участка многоквартирного жилого дома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800 м</w:t>
            </w:r>
            <w:r>
              <w:rPr>
                <w:rFonts w:eastAsia="Times New Roman" w:cs="Times New Roman"/>
                <w:color w:val="000000"/>
              </w:rPr>
              <w:t xml:space="preserve"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268"/>
                <w:szCs w:val="24"/>
              </w:rPr>
              <w:t xml:space="preserve">Количество </w:t>
            </w:r>
            <w:r>
              <w:rPr>
                <w:rStyle w:val="1268"/>
                <w:szCs w:val="24"/>
              </w:rPr>
              <w:t xml:space="preserve">машино</w:t>
            </w:r>
            <w:r>
              <w:rPr>
                <w:rStyle w:val="1268"/>
                <w:szCs w:val="24"/>
              </w:rPr>
              <w:t xml:space="preserve">-мест</w:t>
            </w:r>
            <w:r>
              <w:rPr>
                <w:rStyle w:val="1268"/>
                <w:szCs w:val="24"/>
              </w:rPr>
              <w:br/>
              <w:t xml:space="preserve">для объектов обслуживая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268"/>
                <w:szCs w:val="24"/>
              </w:rPr>
              <w:t xml:space="preserve">жилой застройки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Объекты водоснабжения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водоотведения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водоотведения)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электроснабжения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(объем электропотребления)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950 </w:t>
            </w:r>
            <w:r>
              <w:rPr>
                <w:color w:val="000000"/>
                <w:szCs w:val="24"/>
              </w:rPr>
              <w:t xml:space="preserve">кВт·</w:t>
            </w:r>
            <w:r>
              <w:rPr>
                <w:color w:val="000000"/>
                <w:szCs w:val="24"/>
              </w:rPr>
              <w:t xml:space="preserve">ч</w:t>
            </w:r>
            <w:r>
              <w:rPr>
                <w:color w:val="000000"/>
                <w:szCs w:val="24"/>
              </w:rPr>
              <w:t xml:space="preserve">/чел в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 xml:space="preserve">газопотребления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(объем </w:t>
            </w:r>
            <w:r>
              <w:rPr>
                <w:szCs w:val="24"/>
              </w:rPr>
              <w:t xml:space="preserve">газопотребления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220 м3/год 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(расход тепловой энергии на отопление и вентиляцию здания)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290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393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307"/>
              <w:numPr>
                <w:ilvl w:val="0"/>
                <w:numId w:val="1"/>
              </w:numPr>
              <w:ind w:left="57" w:right="57"/>
              <w:spacing w:line="283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 xml:space="preserve">(до организации и обратно). Расстояние транспортного обслуживания не должно превышать 30 км в одну сторону.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83" w:lineRule="exact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2</w:t>
            </w:r>
            <w:r>
              <w:rPr>
                <w:color w:val="000000"/>
                <w:szCs w:val="24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  <w:r/>
          </w:p>
          <w:p>
            <w:pPr>
              <w:pStyle w:val="1290"/>
              <w:numPr>
                <w:ilvl w:val="0"/>
                <w:numId w:val="1"/>
              </w:numPr>
              <w:ind w:left="57" w:right="57"/>
              <w:jc w:val="both"/>
              <w:spacing w:line="283" w:lineRule="exact"/>
              <w:widowControl w:val="off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Размер вновь создаваемой площадки для занятий физкультурой взрослого населения</w:t>
            </w:r>
            <w:r>
              <w:rPr>
                <w:color w:val="000000"/>
                <w:szCs w:val="24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307"/>
              <w:numPr>
                <w:ilvl w:val="0"/>
                <w:numId w:val="1"/>
              </w:numPr>
              <w:ind w:left="57" w:right="57"/>
              <w:spacing w:line="283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 xml:space="preserve">4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83" w:lineRule="exact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5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Cs w:val="24"/>
              </w:rPr>
              <w:t xml:space="preserve">П</w:t>
            </w:r>
            <w:r>
              <w:rPr>
                <w:color w:val="000000"/>
                <w:szCs w:val="24"/>
              </w:rPr>
              <w:t xml:space="preserve">ри реализации комплексного развития территории, часть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допускается размещать вне границ земельног</w:t>
            </w:r>
            <w:r>
              <w:rPr>
                <w:color w:val="000000"/>
                <w:szCs w:val="24"/>
              </w:rPr>
              <w:t xml:space="preserve">о(</w:t>
            </w:r>
            <w:r>
              <w:rPr>
                <w:color w:val="000000"/>
                <w:szCs w:val="24"/>
              </w:rPr>
              <w:t xml:space="preserve">ых</w:t>
            </w:r>
            <w:r>
              <w:rPr>
                <w:color w:val="000000"/>
                <w:szCs w:val="24"/>
              </w:rPr>
              <w:t xml:space="preserve">) участка(</w:t>
            </w:r>
            <w:r>
              <w:rPr>
                <w:color w:val="000000"/>
                <w:szCs w:val="24"/>
              </w:rPr>
              <w:t xml:space="preserve">ов</w:t>
            </w:r>
            <w:r>
              <w:rPr>
                <w:color w:val="000000"/>
                <w:szCs w:val="24"/>
              </w:rPr>
              <w:t xml:space="preserve"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  <w:r/>
          </w:p>
        </w:tc>
      </w:tr>
    </w:tbl>
    <w:p>
      <w:pPr>
        <w:pStyle w:val="1270"/>
        <w:contextualSpacing/>
        <w:jc w:val="left"/>
        <w:rPr>
          <w:szCs w:val="28"/>
        </w:rPr>
      </w:pPr>
      <w:r>
        <w:rPr>
          <w:szCs w:val="28"/>
        </w:rPr>
      </w:r>
      <w:r/>
    </w:p>
    <w:p>
      <w:pPr>
        <w:pStyle w:val="863"/>
        <w:contextualSpacing/>
      </w:pPr>
      <w:r/>
      <w:bookmarkStart w:id="47" w:name="_Toc29"/>
      <w:r/>
      <w:bookmarkStart w:id="48" w:name="_Toc208237217"/>
      <w:r>
        <w:rPr>
          <w:rFonts w:cs="Times New Roman"/>
          <w:color w:val="000000"/>
          <w:shd w:val="clear" w:color="auto" w:fill="auto"/>
        </w:rPr>
        <w:t xml:space="preserve">Статья 15. Ограничения использования земельных участков и объектов капитального строительства</w:t>
      </w:r>
      <w:bookmarkEnd w:id="47"/>
      <w:r/>
      <w:bookmarkEnd w:id="48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</w:pPr>
      <w:r>
        <w:t xml:space="preserve">1. </w:t>
      </w:r>
      <w:r>
        <w:t xml:space="preserve">В соответствии со статьей 1 Градостроительного кодекса Российской Федерации к зонам с особыми условиями исп</w:t>
      </w:r>
      <w:r>
        <w:t xml:space="preserve">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r>
        <w:t xml:space="preserve">водоохранные</w:t>
      </w:r>
      <w:r>
        <w:t xml:space="preserve"> зоны, зоны затопления, подтопления, зоны санитарной охраны источников питьевого и хозяйственно-бытового водоснабжения, зоны </w:t>
      </w:r>
      <w:r>
        <w:t xml:space="preserve">охраняемых объектов, </w:t>
      </w:r>
      <w:r>
        <w:t xml:space="preserve">приаэродромная</w:t>
      </w:r>
      <w:r>
        <w:t xml:space="preserve"> территория, иные</w:t>
      </w:r>
      <w:r>
        <w:t xml:space="preserve"> зоны, устанавливаемые в соответствии с законодательством Российской Федерации.</w:t>
      </w:r>
      <w:r/>
    </w:p>
    <w:p>
      <w:pPr>
        <w:pStyle w:val="1270"/>
      </w:pPr>
      <w:r>
        <w:t xml:space="preserve">2. </w:t>
      </w:r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 xml:space="preserve"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были установлены в порядке,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от 03.08.2018 № 342-ФЗ «О внесении изменений в Градостроительный кодекс</w:t>
      </w:r>
      <w:r>
        <w:rPr>
          <w:rFonts w:eastAsia="Times New Roman" w:cs="Times New Roman"/>
          <w:spacing w:val="2"/>
          <w:szCs w:val="28"/>
          <w:lang w:eastAsia="ru-RU"/>
        </w:rPr>
        <w:t xml:space="preserve"> Российской Федерации и о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тдельные законодательные акты Российской Федерации». </w:t>
      </w:r>
      <w:r/>
    </w:p>
    <w:p>
      <w:pPr>
        <w:pStyle w:val="1270"/>
        <w:rPr>
          <w:shd w:val="clear" w:color="auto" w:fill="ffffff"/>
        </w:rPr>
      </w:pPr>
      <w:r>
        <w:rPr>
          <w:rFonts w:eastAsia="MS Mincho;ＭＳ 明朝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shd w:val="clear" w:color="auto" w:fill="ffffff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  <w:r/>
    </w:p>
    <w:p>
      <w:pPr>
        <w:pStyle w:val="1270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ru-RU"/>
        </w:rPr>
        <w:t xml:space="preserve">4. Ограничения использования земельных участков и объектов капитального строительства на территории ЗОУИТ определяют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ся в соответствии с законодательством Российской Федерации.</w:t>
      </w:r>
      <w:r/>
    </w:p>
    <w:p>
      <w:pPr>
        <w:pStyle w:val="127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3"/>
        <w:contextualSpacing/>
      </w:pPr>
      <w:r/>
      <w:bookmarkStart w:id="49" w:name="_Toc30"/>
      <w:r/>
      <w:bookmarkStart w:id="50" w:name="_Toc208237218"/>
      <w:r>
        <w:rPr>
          <w:rFonts w:cs="Times New Roman"/>
          <w:bCs w:val="0"/>
          <w:color w:val="000000"/>
          <w:shd w:val="clear" w:color="auto" w:fill="auto"/>
        </w:rPr>
        <w:t xml:space="preserve"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</w:t>
      </w:r>
      <w:bookmarkEnd w:id="49"/>
      <w:r/>
      <w:bookmarkEnd w:id="50"/>
      <w:r/>
      <w:r/>
    </w:p>
    <w:p>
      <w:pPr>
        <w:pStyle w:val="1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/>
    </w:p>
    <w:p>
      <w:pPr>
        <w:pStyle w:val="1270"/>
      </w:pPr>
      <w:r>
        <w:rPr>
          <w:rFonts w:cs="Times New Roman"/>
        </w:rPr>
        <w:t xml:space="preserve">1. Санитарно-защитная зона </w:t>
      </w:r>
      <w:r>
        <w:rPr>
          <w:rFonts w:cs="Times New Roman"/>
          <w:spacing w:val="5"/>
        </w:rPr>
        <w:t xml:space="preserve">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это специальная территория с особым режимом использования, устанавливаемая вокруг объектов и производств, являющихся источниками воздействия на среду обитания и здоровья человека.</w:t>
      </w:r>
      <w:r/>
    </w:p>
    <w:p>
      <w:pPr>
        <w:pStyle w:val="1270"/>
        <w:rPr>
          <w:highlight w:val="yellow"/>
          <w:u w:val="single"/>
        </w:rPr>
      </w:pPr>
      <w:r>
        <w:rPr>
          <w:color w:val="000000"/>
          <w:szCs w:val="28"/>
        </w:rPr>
        <w:t xml:space="preserve">2. Правила установления санитарно-защитных зон и использования земельных участков, расположенных в границах санитарно-защитных зон</w:t>
      </w:r>
      <w:r>
        <w:rPr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утверждены постановлением Правительства РФ от 03.03.2018 № 222 </w:t>
      </w:r>
      <w:r/>
    </w:p>
    <w:p>
      <w:pPr>
        <w:pStyle w:val="1270"/>
      </w:pPr>
      <w:r>
        <w:rPr>
          <w:szCs w:val="28"/>
        </w:rPr>
        <w:t xml:space="preserve">3. Санитарно-защ</w:t>
      </w:r>
      <w:r>
        <w:rPr>
          <w:szCs w:val="28"/>
        </w:rPr>
        <w:t xml:space="preserve">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szCs w:val="28"/>
        </w:rPr>
        <w:br/>
        <w:t xml:space="preserve">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  <w:r/>
    </w:p>
    <w:p>
      <w:pPr>
        <w:pStyle w:val="1270"/>
      </w:pPr>
      <w:r>
        <w:rPr>
          <w:szCs w:val="28"/>
        </w:rPr>
        <w:t xml:space="preserve">4</w:t>
      </w:r>
      <w:r>
        <w:t xml:space="preserve">. Решения об установлении, изменении или о прекращении существования санитарно-защитных зон принимает Федеральная служба по надзору в сфере защиты прав потребителей и бла</w:t>
      </w:r>
      <w:r>
        <w:t xml:space="preserve">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потребителей и благополучия человека</w:t>
      </w:r>
      <w:r>
        <w:br/>
        <w:t xml:space="preserve">определяет </w:t>
      </w:r>
      <w:r>
        <w:t xml:space="preserve">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 принимаются ее территориальными органами.</w:t>
      </w:r>
      <w:r/>
    </w:p>
    <w:p>
      <w:pPr>
        <w:pStyle w:val="1270"/>
      </w:pPr>
      <w:r>
        <w:t xml:space="preserve">5. В границах санитарно-защитной зоны не допускается использование земельных участков в целях:</w:t>
      </w:r>
      <w:r/>
    </w:p>
    <w:p>
      <w:pPr>
        <w:pStyle w:val="1270"/>
      </w:pPr>
      <w:r>
        <w:t xml:space="preserve"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  <w:r/>
    </w:p>
    <w:p>
      <w:pPr>
        <w:pStyle w:val="1270"/>
        <w:contextualSpacing/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размещения объектов для произ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  <w:r/>
    </w:p>
    <w:p>
      <w:pPr>
        <w:pStyle w:val="127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/>
    </w:p>
    <w:p>
      <w:pPr>
        <w:pStyle w:val="863"/>
        <w:contextualSpacing/>
        <w:rPr>
          <w:shd w:val="clear" w:color="auto" w:fill="auto"/>
        </w:rPr>
      </w:pPr>
      <w:r/>
      <w:bookmarkStart w:id="51" w:name="_Toc31"/>
      <w:r/>
      <w:bookmarkStart w:id="52" w:name="_Toc208237219"/>
      <w:r>
        <w:rPr>
          <w:rFonts w:cs="Times New Roman"/>
          <w:color w:val="000000"/>
          <w:shd w:val="clear" w:color="auto" w:fill="auto"/>
        </w:rPr>
        <w:t xml:space="preserve">Статья 15.2. Водоохранные зоны и прибрежные защитные полосы</w:t>
      </w:r>
      <w:bookmarkEnd w:id="51"/>
      <w:r/>
      <w:bookmarkEnd w:id="52"/>
      <w:r/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Водоохранными</w:t>
      </w:r>
      <w:r>
        <w:rPr>
          <w:color w:val="000000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</w:t>
      </w:r>
      <w:r>
        <w:rPr>
          <w:color w:val="000000"/>
          <w:szCs w:val="28"/>
        </w:rPr>
        <w:t xml:space="preserve">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r/>
    </w:p>
    <w:p>
      <w:pPr>
        <w:pStyle w:val="1270"/>
      </w:pPr>
      <w:r>
        <w:rPr>
          <w:color w:val="000000"/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  <w:r/>
    </w:p>
    <w:p>
      <w:pPr>
        <w:pStyle w:val="1270"/>
      </w:pPr>
      <w:r>
        <w:rPr>
          <w:color w:val="000000"/>
          <w:szCs w:val="28"/>
        </w:rPr>
        <w:t xml:space="preserve">3. В границах водоохранных зон запрещается: </w:t>
      </w:r>
      <w:r/>
    </w:p>
    <w:p>
      <w:pPr>
        <w:pStyle w:val="1270"/>
      </w:pPr>
      <w:r>
        <w:rPr>
          <w:color w:val="000000"/>
          <w:szCs w:val="28"/>
        </w:rPr>
        <w:t xml:space="preserve">1) использование сточных вод в целях повышения почвенного плодородия;</w:t>
      </w:r>
      <w:r/>
    </w:p>
    <w:p>
      <w:pPr>
        <w:pStyle w:val="1270"/>
      </w:pPr>
      <w:r>
        <w:rPr>
          <w:color w:val="000000"/>
          <w:szCs w:val="28"/>
        </w:rPr>
        <w:t xml:space="preserve">2) размещение кладбищ, скотом</w:t>
      </w:r>
      <w:r>
        <w:rPr>
          <w:color w:val="000000"/>
          <w:szCs w:val="28"/>
        </w:rPr>
        <w:t xml:space="preserve">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r>
        <w:rPr>
          <w:color w:val="000000"/>
          <w:szCs w:val="28"/>
        </w:rPr>
        <w:t xml:space="preserve">концентрации</w:t>
      </w:r>
      <w:r>
        <w:rPr>
          <w:color w:val="000000"/>
          <w:szCs w:val="28"/>
        </w:rPr>
        <w:t xml:space="preserve"> которых в водах водных объектов </w:t>
      </w:r>
      <w:r>
        <w:rPr>
          <w:color w:val="000000"/>
          <w:szCs w:val="28"/>
        </w:rPr>
        <w:t xml:space="preserve">рыбохозяйственного</w:t>
      </w:r>
      <w:r>
        <w:rPr>
          <w:color w:val="000000"/>
          <w:szCs w:val="28"/>
        </w:rPr>
        <w:t xml:space="preserve"> значения не установлены;</w:t>
      </w:r>
      <w:r/>
    </w:p>
    <w:p>
      <w:pPr>
        <w:pStyle w:val="1270"/>
      </w:pPr>
      <w:r>
        <w:rPr>
          <w:color w:val="000000"/>
          <w:szCs w:val="28"/>
        </w:rPr>
        <w:t xml:space="preserve">3) осуществление авиационных мер по борьбе с вредными организмами;</w:t>
      </w:r>
      <w:r/>
    </w:p>
    <w:p>
      <w:pPr>
        <w:pStyle w:val="1270"/>
      </w:pPr>
      <w:r>
        <w:rPr>
          <w:color w:val="000000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r/>
    </w:p>
    <w:p>
      <w:pPr>
        <w:pStyle w:val="1270"/>
      </w:pPr>
      <w:r>
        <w:rPr>
          <w:color w:val="000000"/>
          <w:szCs w:val="28"/>
        </w:rPr>
        <w:t xml:space="preserve">5) строительство и реконструкц</w:t>
      </w:r>
      <w:r>
        <w:rPr>
          <w:color w:val="000000"/>
          <w:szCs w:val="28"/>
        </w:rPr>
        <w:t xml:space="preserve">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</w:t>
      </w:r>
      <w:r>
        <w:rPr>
          <w:color w:val="000000"/>
          <w:szCs w:val="28"/>
        </w:rPr>
        <w:t xml:space="preserve">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/>
    </w:p>
    <w:p>
      <w:pPr>
        <w:pStyle w:val="1270"/>
      </w:pPr>
      <w:r>
        <w:rPr>
          <w:color w:val="000000"/>
          <w:szCs w:val="28"/>
        </w:rPr>
        <w:t xml:space="preserve">6) хранение пестицидов и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(за исключением хранения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;</w:t>
      </w:r>
      <w:r/>
    </w:p>
    <w:p>
      <w:pPr>
        <w:pStyle w:val="1270"/>
      </w:pPr>
      <w:r>
        <w:rPr>
          <w:color w:val="000000"/>
          <w:szCs w:val="28"/>
        </w:rPr>
        <w:t xml:space="preserve">7) сброс сточных, в том числе дренажных, вод;</w:t>
      </w:r>
      <w:r/>
    </w:p>
    <w:p>
      <w:pPr>
        <w:pStyle w:val="1270"/>
      </w:pPr>
      <w:r>
        <w:rPr>
          <w:color w:val="000000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</w:t>
      </w:r>
      <w:r>
        <w:rPr>
          <w:color w:val="000000"/>
          <w:szCs w:val="28"/>
        </w:rPr>
        <w:t xml:space="preserve">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</w:t>
      </w:r>
      <w:r>
        <w:rPr>
          <w:strike/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технического проекта в соответствии со статьей 19.1 Закона Российской Федерации от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21.02.1992 № 2395-1 «О недрах»).</w:t>
      </w:r>
      <w:r/>
    </w:p>
    <w:p>
      <w:pPr>
        <w:pStyle w:val="1270"/>
      </w:pPr>
      <w:r>
        <w:rPr>
          <w:color w:val="000000"/>
          <w:szCs w:val="28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</w:t>
      </w:r>
      <w:r>
        <w:rPr>
          <w:color w:val="000000"/>
          <w:szCs w:val="28"/>
        </w:rPr>
        <w:t xml:space="preserve">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  <w:r/>
    </w:p>
    <w:p>
      <w:pPr>
        <w:pStyle w:val="1270"/>
      </w:pPr>
      <w:r>
        <w:rPr>
          <w:color w:val="000000"/>
          <w:szCs w:val="28"/>
        </w:rPr>
        <w:t xml:space="preserve">5. </w:t>
      </w:r>
      <w:r>
        <w:rPr>
          <w:color w:val="000000"/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</w:t>
      </w:r>
      <w:r>
        <w:rPr>
          <w:color w:val="000000"/>
          <w:szCs w:val="28"/>
        </w:rPr>
        <w:t xml:space="preserve">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r>
        <w:rPr>
          <w:color w:val="000000"/>
          <w:szCs w:val="28"/>
        </w:rPr>
        <w:t xml:space="preserve"> и микроорганизмов в окружающую среду. </w:t>
      </w:r>
      <w:r/>
    </w:p>
    <w:p>
      <w:pPr>
        <w:pStyle w:val="1270"/>
      </w:pPr>
      <w:r>
        <w:rPr>
          <w:color w:val="000000"/>
          <w:szCs w:val="28"/>
        </w:rPr>
        <w:t xml:space="preserve">6. </w:t>
      </w:r>
      <w:r>
        <w:rPr>
          <w:color w:val="000000"/>
          <w:szCs w:val="28"/>
        </w:rPr>
        <w:t xml:space="preserve">На территориях, расп</w:t>
      </w:r>
      <w:r>
        <w:rPr>
          <w:color w:val="000000"/>
          <w:szCs w:val="28"/>
        </w:rPr>
        <w:t xml:space="preserve">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</w:t>
      </w:r>
      <w:r>
        <w:rPr>
          <w:strike/>
          <w:color w:val="000000"/>
          <w:szCs w:val="28"/>
          <w:highlight w:val="yellow"/>
        </w:rPr>
        <w:t xml:space="preserve"> </w:t>
      </w:r>
      <w:r>
        <w:rPr>
          <w:color w:val="000000"/>
          <w:szCs w:val="28"/>
        </w:rPr>
        <w:t xml:space="preserve">законодательством правовым режимом защитных лесов, правовым режимом особо защитных участков лесов. </w:t>
      </w:r>
      <w:r/>
    </w:p>
    <w:p>
      <w:pPr>
        <w:pStyle w:val="1270"/>
      </w:pPr>
      <w:r>
        <w:rPr>
          <w:color w:val="000000"/>
          <w:szCs w:val="28"/>
        </w:rPr>
        <w:t xml:space="preserve">7. Строительство, реконструкция и эксплуатация специализированных хранилищ </w:t>
      </w:r>
      <w:r>
        <w:rPr>
          <w:color w:val="000000"/>
          <w:szCs w:val="28"/>
        </w:rPr>
        <w:t xml:space="preserve">агрохимикатов</w:t>
      </w:r>
      <w:r>
        <w:rPr>
          <w:color w:val="000000"/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  <w:r/>
    </w:p>
    <w:p>
      <w:pPr>
        <w:pStyle w:val="1270"/>
      </w:pPr>
      <w:r>
        <w:rPr>
          <w:color w:val="000000"/>
          <w:szCs w:val="28"/>
        </w:rPr>
        <w:t xml:space="preserve">8.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  <w:r/>
    </w:p>
    <w:p>
      <w:pPr>
        <w:pStyle w:val="1270"/>
      </w:pPr>
      <w:r>
        <w:rPr>
          <w:color w:val="000000"/>
          <w:szCs w:val="28"/>
        </w:rPr>
        <w:t xml:space="preserve">1) распашка земель;</w:t>
      </w:r>
      <w:r/>
    </w:p>
    <w:p>
      <w:pPr>
        <w:pStyle w:val="1270"/>
      </w:pPr>
      <w:r>
        <w:rPr>
          <w:color w:val="000000"/>
          <w:szCs w:val="28"/>
        </w:rPr>
        <w:t xml:space="preserve">2) размещение отвалов размываемых грунтов;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3) выпас сельскохозяйственных животных и организация для них летних лагерей, ванн.</w:t>
      </w:r>
      <w:r/>
    </w:p>
    <w:p>
      <w:pPr>
        <w:pStyle w:val="1270"/>
      </w:pPr>
      <w:r/>
      <w:r/>
    </w:p>
    <w:p>
      <w:pPr>
        <w:pStyle w:val="863"/>
        <w:contextualSpacing/>
      </w:pPr>
      <w:r/>
      <w:bookmarkStart w:id="53" w:name="_Toc32"/>
      <w:r/>
      <w:bookmarkStart w:id="54" w:name="_Toc208237220"/>
      <w:r>
        <w:rPr>
          <w:rFonts w:cs="Times New Roman"/>
          <w:color w:val="000000"/>
          <w:shd w:val="clear" w:color="auto" w:fill="auto"/>
        </w:rPr>
        <w:t xml:space="preserve">Статья 15.3. Охранные зоны инженерных коммуникаций</w:t>
      </w:r>
      <w:bookmarkEnd w:id="53"/>
      <w:r/>
      <w:bookmarkEnd w:id="54"/>
      <w:r/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rFonts w:cs="Times New Roman"/>
          <w:iCs/>
          <w:color w:val="000000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2. Охранные зоны газораспределительных сетей. </w:t>
      </w:r>
      <w:r>
        <w:rPr>
          <w:rFonts w:cs="Times New Roman"/>
          <w:color w:val="000000"/>
          <w:szCs w:val="28"/>
        </w:rPr>
        <w:t xml:space="preserve">Порядок определения гр</w:t>
      </w:r>
      <w:r>
        <w:rPr>
          <w:rFonts w:cs="Times New Roman"/>
          <w:color w:val="000000"/>
          <w:szCs w:val="28"/>
        </w:rPr>
        <w:t xml:space="preserve">аниц охранных зон газораспределительных сетей, условия использования земельных участков, расположенных в их пределах, ограничения хозяйственной деятельности, которая может привести к повреждению газораспределительных сетей, права и обязанности эксплуатацио</w:t>
      </w:r>
      <w:r>
        <w:rPr>
          <w:rFonts w:cs="Times New Roman"/>
          <w:color w:val="000000"/>
          <w:szCs w:val="28"/>
        </w:rPr>
        <w:t xml:space="preserve">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устанавливаются постановлением Правительства</w:t>
      </w:r>
      <w:r>
        <w:rPr>
          <w:rFonts w:cs="Times New Roman"/>
          <w:color w:val="000000"/>
          <w:szCs w:val="28"/>
          <w:highlight w:val="yellow"/>
          <w:u w:val="single"/>
        </w:rPr>
        <w:t xml:space="preserve"> </w:t>
      </w:r>
      <w:r>
        <w:rPr>
          <w:rFonts w:cs="Times New Roman"/>
          <w:color w:val="000000"/>
          <w:szCs w:val="28"/>
        </w:rPr>
        <w:t xml:space="preserve">Российской Федерации от 20.11.2000 № 878</w:t>
      </w:r>
      <w:r>
        <w:rPr>
          <w:rFonts w:cs="Times New Roman"/>
          <w:color w:val="000000"/>
          <w:szCs w:val="28"/>
        </w:rPr>
        <w:t xml:space="preserve"> «Об утверждении правил охраны газораспределительных сетей». </w:t>
      </w:r>
      <w:r/>
    </w:p>
    <w:p>
      <w:pPr>
        <w:pStyle w:val="1270"/>
      </w:pPr>
      <w:r>
        <w:rPr>
          <w:color w:val="000000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  <w:r/>
    </w:p>
    <w:p>
      <w:pPr>
        <w:pStyle w:val="1270"/>
      </w:pPr>
      <w:r>
        <w:rPr>
          <w:color w:val="000000"/>
        </w:rPr>
        <w:t xml:space="preserve">а) строить объекты жилищно-гражданского и производственного назначения;</w:t>
      </w:r>
      <w:r/>
    </w:p>
    <w:p>
      <w:pPr>
        <w:pStyle w:val="1270"/>
      </w:pPr>
      <w:r>
        <w:rPr>
          <w:color w:val="000000"/>
        </w:rPr>
        <w:t xml:space="preserve"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r/>
    </w:p>
    <w:p>
      <w:pPr>
        <w:pStyle w:val="1270"/>
      </w:pPr>
      <w:r>
        <w:rPr>
          <w:color w:val="000000"/>
        </w:rPr>
        <w:t xml:space="preserve"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  <w:r/>
    </w:p>
    <w:p>
      <w:pPr>
        <w:pStyle w:val="1270"/>
      </w:pPr>
      <w:r>
        <w:rPr>
          <w:color w:val="000000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r/>
    </w:p>
    <w:p>
      <w:pPr>
        <w:pStyle w:val="1270"/>
      </w:pPr>
      <w:r>
        <w:rPr>
          <w:color w:val="000000"/>
        </w:rPr>
        <w:t xml:space="preserve">д) устраивать свалки и склады, разливать растворы кислот, солей, щелочей и других химически активных веществ;</w:t>
      </w:r>
      <w:r/>
    </w:p>
    <w:p>
      <w:pPr>
        <w:pStyle w:val="1270"/>
      </w:pPr>
      <w:r>
        <w:rPr>
          <w:color w:val="000000"/>
        </w:rPr>
        <w:t xml:space="preserve"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  <w:r/>
    </w:p>
    <w:p>
      <w:pPr>
        <w:pStyle w:val="1270"/>
      </w:pPr>
      <w:r>
        <w:rPr>
          <w:color w:val="000000"/>
        </w:rPr>
        <w:t xml:space="preserve">ж) разводить огонь и размещать источники огня;</w:t>
      </w:r>
      <w:r/>
    </w:p>
    <w:p>
      <w:pPr>
        <w:pStyle w:val="1270"/>
      </w:pPr>
      <w:r>
        <w:rPr>
          <w:color w:val="000000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метра;</w:t>
      </w:r>
      <w:r/>
    </w:p>
    <w:p>
      <w:pPr>
        <w:pStyle w:val="1270"/>
      </w:pPr>
      <w:r>
        <w:rPr>
          <w:color w:val="000000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r>
        <w:rPr>
          <w:color w:val="000000"/>
        </w:rPr>
        <w:t xml:space="preserve">дств св</w:t>
      </w:r>
      <w:r>
        <w:rPr>
          <w:color w:val="000000"/>
        </w:rPr>
        <w:t xml:space="preserve">язи, освещения и систем телемеханики;</w:t>
      </w:r>
      <w:r/>
    </w:p>
    <w:p>
      <w:pPr>
        <w:pStyle w:val="1270"/>
      </w:pPr>
      <w:r>
        <w:rPr>
          <w:color w:val="000000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  <w:r/>
    </w:p>
    <w:p>
      <w:pPr>
        <w:pStyle w:val="1270"/>
      </w:pPr>
      <w:r>
        <w:rPr>
          <w:color w:val="000000"/>
        </w:rPr>
        <w:t xml:space="preserve">л) самовольно подключаться к газораспределительным сетям.</w:t>
      </w:r>
      <w:r/>
    </w:p>
    <w:p>
      <w:pPr>
        <w:pStyle w:val="1270"/>
        <w:tabs>
          <w:tab w:val="left" w:pos="894" w:leader="none"/>
        </w:tabs>
      </w:pPr>
      <w:r>
        <w:rPr>
          <w:rFonts w:cs="Times New Roman"/>
          <w:color w:val="000000"/>
          <w:szCs w:val="28"/>
        </w:rPr>
        <w:t xml:space="preserve">3. Охранные зоны объектов электросетевого хозяйства. </w:t>
      </w:r>
      <w:r>
        <w:rPr>
          <w:rFonts w:cs="Times New Roman"/>
          <w:color w:val="000000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</w:t>
      </w:r>
      <w:r>
        <w:rPr>
          <w:rFonts w:cs="Times New Roman"/>
          <w:color w:val="000000"/>
          <w:szCs w:val="28"/>
        </w:rPr>
        <w:t xml:space="preserve"> объектов устанавливаются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</w:t>
      </w:r>
      <w:r>
        <w:rPr>
          <w:color w:val="000000"/>
        </w:rPr>
        <w:t xml:space="preserve">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</w:t>
      </w:r>
      <w:r>
        <w:rPr>
          <w:color w:val="000000"/>
        </w:rPr>
        <w:t xml:space="preserve">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r>
        <w:rPr>
          <w:color w:val="000000"/>
        </w:rPr>
        <w:t xml:space="preserve"> устранению их последствий на всем протяжении границы объекта электроэнергетики;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</w:t>
      </w:r>
      <w:r>
        <w:rPr>
          <w:color w:val="000000"/>
        </w:rPr>
        <w:t xml:space="preserve">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color w:val="000000"/>
        </w:rPr>
        <w:t xml:space="preserve"> линий электропередачи;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г) размещать свалки;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r>
        <w:rPr>
          <w:color w:val="000000"/>
        </w:rPr>
        <w:t xml:space="preserve">горюче-смазочных материалов (в охранных зонах подземных кабельных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ab/>
        <w:t xml:space="preserve">В охранных зонах, установленных для объектов электросетевого хозяйства напряжением свыше 1000 вольт, дополнительно  запрещается: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а) складировать или размещать хранилища любых, в том числе горюче-смазочных, материалов;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б) размещать детские и спортивные площадки, стадионы, рынки, торговые точки, полевые </w:t>
      </w:r>
      <w:r>
        <w:rPr>
          <w:color w:val="000000"/>
        </w:rPr>
        <w:t xml:space="preserve">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д) осуществлять проход судов с поднятыми стрелами кранов и других механизмов (в охранных зонах воздушных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r>
        <w:rPr>
          <w:color w:val="000000"/>
        </w:rPr>
        <w:t xml:space="preserve">кВ</w:t>
      </w:r>
      <w:r>
        <w:rPr>
          <w:color w:val="000000"/>
        </w:rPr>
        <w:t xml:space="preserve"> и выше (исключительно в охранных зонах воздушных линий электропередачи);</w:t>
      </w:r>
      <w:r/>
    </w:p>
    <w:p>
      <w:pPr>
        <w:pStyle w:val="1270"/>
        <w:tabs>
          <w:tab w:val="left" w:pos="894" w:leader="none"/>
        </w:tabs>
      </w:pPr>
      <w:r>
        <w:rPr>
          <w:color w:val="000000"/>
        </w:rPr>
        <w:t xml:space="preserve">ж) устанавливать рекламные конструкции.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4. Охранные </w:t>
      </w:r>
      <w:hyperlink r:id="rId19" w:tooltip="https://login.consultant.ru/link/?req=doc&amp;base=LAW&amp;n=6884&amp;dst=100015" w:history="1">
        <w:r>
          <w:rPr>
            <w:rFonts w:cs="Times New Roman"/>
            <w:color w:val="000000"/>
            <w:szCs w:val="28"/>
          </w:rPr>
          <w:t xml:space="preserve">зоны</w:t>
        </w:r>
      </w:hyperlink>
      <w:r>
        <w:rPr>
          <w:rFonts w:cs="Times New Roman"/>
          <w:color w:val="000000"/>
          <w:szCs w:val="28"/>
        </w:rPr>
        <w:t xml:space="preserve"> линий и сооружений связи. Правила охраны линий и сооружений связи Российской Федерации для обеспечения </w:t>
      </w:r>
      <w:r>
        <w:rPr>
          <w:rFonts w:cs="Times New Roman"/>
          <w:color w:val="000000"/>
          <w:szCs w:val="28"/>
        </w:rPr>
        <w:t xml:space="preserve">сохранности</w:t>
      </w:r>
      <w:r>
        <w:rPr>
          <w:rFonts w:cs="Times New Roman"/>
          <w:color w:val="000000"/>
          <w:szCs w:val="28"/>
        </w:rPr>
        <w:t xml:space="preserve"> д</w:t>
      </w:r>
      <w:r>
        <w:rPr>
          <w:rFonts w:cs="Times New Roman"/>
          <w:color w:val="000000"/>
          <w:szCs w:val="28"/>
        </w:rPr>
        <w:t xml:space="preserve">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</w:t>
      </w:r>
      <w:r>
        <w:rPr>
          <w:rFonts w:cs="Times New Roman"/>
          <w:color w:val="000000"/>
          <w:szCs w:val="28"/>
        </w:rPr>
        <w:t xml:space="preserve">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  <w:r/>
    </w:p>
    <w:p>
      <w:pPr>
        <w:pStyle w:val="1270"/>
      </w:pPr>
      <w:r>
        <w:rPr>
          <w:color w:val="000000"/>
        </w:rPr>
        <w:t xml:space="preserve"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  <w:r/>
    </w:p>
    <w:p>
      <w:pPr>
        <w:pStyle w:val="1270"/>
      </w:pPr>
      <w:r>
        <w:rPr>
          <w:color w:val="000000"/>
        </w:rPr>
        <w:t xml:space="preserve"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  <w:r/>
    </w:p>
    <w:p>
      <w:pPr>
        <w:pStyle w:val="1270"/>
      </w:pPr>
      <w:r>
        <w:rPr>
          <w:color w:val="000000"/>
        </w:rP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r>
        <w:rPr>
          <w:color w:val="000000"/>
        </w:rPr>
        <w:t xml:space="preserve">шурфованием</w:t>
      </w:r>
      <w:r>
        <w:rPr>
          <w:color w:val="000000"/>
        </w:rPr>
        <w:t xml:space="preserve">, взятием проб грунта, осуществлением взрывных работ;</w:t>
      </w:r>
      <w:r/>
    </w:p>
    <w:p>
      <w:pPr>
        <w:pStyle w:val="1270"/>
      </w:pPr>
      <w:r>
        <w:rPr>
          <w:color w:val="000000"/>
        </w:rPr>
        <w:t xml:space="preserve"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  <w:r/>
    </w:p>
    <w:p>
      <w:pPr>
        <w:pStyle w:val="1270"/>
      </w:pPr>
      <w:r>
        <w:rPr>
          <w:color w:val="000000"/>
        </w:rPr>
        <w:t xml:space="preserve">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  <w:r/>
    </w:p>
    <w:p>
      <w:pPr>
        <w:pStyle w:val="1270"/>
      </w:pPr>
      <w:r>
        <w:rPr>
          <w:color w:val="000000"/>
        </w:rPr>
        <w:t xml:space="preserve">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</w:t>
      </w:r>
      <w:r>
        <w:rPr>
          <w:color w:val="000000"/>
        </w:rPr>
        <w:t xml:space="preserve">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  <w:r/>
    </w:p>
    <w:p>
      <w:pPr>
        <w:pStyle w:val="1270"/>
      </w:pPr>
      <w:r>
        <w:rPr>
          <w:color w:val="000000"/>
        </w:rPr>
        <w:t xml:space="preserve"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  <w:r/>
    </w:p>
    <w:p>
      <w:pPr>
        <w:pStyle w:val="1270"/>
      </w:pPr>
      <w:r>
        <w:rPr>
          <w:color w:val="000000"/>
        </w:rPr>
        <w:t xml:space="preserve">ж) производить защиту подземных коммуникаций от коррозии без учета проходящих подземных кабельных линий связи.</w:t>
      </w:r>
      <w:r/>
    </w:p>
    <w:p>
      <w:pPr>
        <w:pStyle w:val="1270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Cs w:val="28"/>
        </w:rPr>
        <w:t xml:space="preserve">5. Охранные зоны магистральных газопроводов. </w:t>
      </w:r>
      <w:r>
        <w:rPr>
          <w:rFonts w:cs="Times New Roman"/>
          <w:color w:val="000000"/>
          <w:szCs w:val="28"/>
        </w:rPr>
        <w:t xml:space="preserve">Правила охраны магистральных газопроводов устанавливаются постановление</w:t>
      </w:r>
      <w:r>
        <w:rPr>
          <w:rFonts w:cs="Times New Roman"/>
          <w:color w:val="000000"/>
          <w:szCs w:val="28"/>
        </w:rPr>
        <w:t xml:space="preserve">м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</w:t>
      </w:r>
      <w:r>
        <w:rPr>
          <w:rFonts w:cs="Times New Roman"/>
          <w:color w:val="000000"/>
          <w:szCs w:val="28"/>
        </w:rPr>
        <w:t xml:space="preserve"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r>
        <w:rPr>
          <w:rFonts w:cs="Times New Roman"/>
          <w:color w:val="000000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В охранных зонах магистральных газопроводов запрещается: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</w:t>
      </w:r>
      <w:r>
        <w:rPr>
          <w:rFonts w:cs="Times New Roman"/>
          <w:color w:val="000000"/>
          <w:szCs w:val="28"/>
        </w:rPr>
        <w:t xml:space="preserve">надписи, опознавательные и сигнальные знаки местонахождения магистральных газопроводов;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2) открывать двери и люки необслуживаемых усилительных пунктов на кабельных линиях связи, калитки огр</w:t>
      </w:r>
      <w:r>
        <w:rPr>
          <w:rFonts w:cs="Times New Roman"/>
          <w:color w:val="000000"/>
          <w:szCs w:val="28"/>
        </w:rPr>
        <w:t xml:space="preserve">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4) складировать любые материалы, в том числе горюче-смазочные, или размещать хранилища любых материалов;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r>
        <w:rPr>
          <w:rFonts w:cs="Times New Roman"/>
          <w:color w:val="000000"/>
          <w:szCs w:val="28"/>
        </w:rPr>
        <w:t xml:space="preserve">с</w:t>
      </w:r>
      <w:r>
        <w:rPr>
          <w:rFonts w:cs="Times New Roman"/>
          <w:color w:val="000000"/>
          <w:szCs w:val="28"/>
        </w:rPr>
        <w:t xml:space="preserve"> вытравленной якорь-цепью;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8) проводить работы с использованием ударно-импульсных устройств и вспомогательных механизмов, сбрасывать грузы;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9) осуществлять рекреационную деятельность, кроме деятельности, предусмотренной подпунктом «ж» пункта 6 постановления Правительства РФ от 08.09.2017 № 1083, разводить костры и размещать источники огня;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10) огораживать и перегораживать охранные зоны;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11) осуществлять несанкционированное подключение (присоединение) к магистральному газопроводу;</w:t>
      </w:r>
      <w:r/>
    </w:p>
    <w:p>
      <w:pPr>
        <w:pStyle w:val="1270"/>
        <w:jc w:val="left"/>
      </w:pPr>
      <w:r>
        <w:rPr>
          <w:rFonts w:cs="Times New Roman"/>
          <w:color w:val="000000"/>
          <w:szCs w:val="28"/>
        </w:rPr>
        <w:t xml:space="preserve">12)  размещать какие-либо здания, строения, сооружения, не относящиеся </w:t>
      </w:r>
      <w:r>
        <w:rPr>
          <w:rFonts w:cs="Times New Roman"/>
          <w:color w:val="000000"/>
          <w:szCs w:val="28"/>
        </w:rPr>
        <w:t xml:space="preserve">к</w:t>
      </w:r>
      <w:r>
        <w:rPr>
          <w:rFonts w:cs="Times New Roman"/>
          <w:color w:val="000000"/>
          <w:szCs w:val="28"/>
        </w:rPr>
        <w:t xml:space="preserve">: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а) линейной части магистрального газопровода;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б) компрессорным станциям;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в) </w:t>
      </w:r>
      <w:r>
        <w:rPr>
          <w:rFonts w:cs="Times New Roman"/>
          <w:color w:val="000000"/>
          <w:szCs w:val="28"/>
        </w:rPr>
        <w:t xml:space="preserve">газоизмерительным</w:t>
      </w:r>
      <w:r>
        <w:rPr>
          <w:rFonts w:cs="Times New Roman"/>
          <w:color w:val="000000"/>
          <w:szCs w:val="28"/>
        </w:rPr>
        <w:t xml:space="preserve"> станциям;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г) газораспределительным станциям, узлам и пунктам редуцирования газа;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д) станциям охлаждения газа;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- сооружения запруд на реках и ручьях;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- размещения туристских стоянок;</w:t>
      </w:r>
      <w:r/>
    </w:p>
    <w:p>
      <w:pPr>
        <w:pStyle w:val="1270"/>
        <w:ind w:left="709" w:firstLine="0"/>
      </w:pPr>
      <w:r>
        <w:rPr>
          <w:rFonts w:cs="Times New Roman"/>
          <w:color w:val="000000"/>
          <w:szCs w:val="28"/>
        </w:rPr>
        <w:t xml:space="preserve">- размещения гаражей, стоянок и парковок транспортных средств; </w:t>
      </w:r>
      <w:r/>
    </w:p>
    <w:p>
      <w:pPr>
        <w:pStyle w:val="1270"/>
        <w:ind w:left="709" w:firstLine="0"/>
      </w:pPr>
      <w:r>
        <w:rPr>
          <w:rFonts w:cs="Times New Roman"/>
          <w:color w:val="000000"/>
          <w:szCs w:val="28"/>
        </w:rPr>
        <w:t xml:space="preserve">- сооружения переездов через магистральные газопроводы; </w:t>
      </w:r>
      <w:r/>
    </w:p>
    <w:p>
      <w:pPr>
        <w:pStyle w:val="1270"/>
        <w:ind w:left="709" w:firstLine="0"/>
      </w:pPr>
      <w:r>
        <w:rPr>
          <w:rFonts w:cs="Times New Roman"/>
          <w:color w:val="000000"/>
          <w:szCs w:val="28"/>
        </w:rPr>
        <w:t xml:space="preserve">- прокладки инженерных коммуникаций; </w:t>
      </w:r>
      <w:r/>
    </w:p>
    <w:p>
      <w:pPr>
        <w:pStyle w:val="1270"/>
        <w:ind w:left="709" w:firstLine="0"/>
      </w:pPr>
      <w:r>
        <w:rPr>
          <w:rFonts w:cs="Times New Roman"/>
          <w:color w:val="000000"/>
          <w:szCs w:val="28"/>
        </w:rPr>
        <w:t xml:space="preserve">- устройства причалов для судов и пляжей.</w:t>
      </w:r>
      <w:r/>
    </w:p>
    <w:p>
      <w:pPr>
        <w:pStyle w:val="1270"/>
      </w:pPr>
      <w:r/>
      <w:r/>
    </w:p>
    <w:p>
      <w:pPr>
        <w:pStyle w:val="863"/>
        <w:contextualSpacing/>
      </w:pPr>
      <w:r/>
      <w:bookmarkStart w:id="55" w:name="_Toc34"/>
      <w:r/>
      <w:bookmarkStart w:id="56" w:name="_Toc208237221"/>
      <w:r>
        <w:rPr>
          <w:rFonts w:cs="Times New Roman"/>
          <w:color w:val="000000"/>
          <w:shd w:val="clear" w:color="auto" w:fill="auto"/>
        </w:rPr>
        <w:t xml:space="preserve">Статья 15.4. Зона санитарной охраны источника водоснабжения</w:t>
      </w:r>
      <w:bookmarkEnd w:id="55"/>
      <w:r/>
      <w:bookmarkEnd w:id="56"/>
      <w:r/>
      <w:r/>
    </w:p>
    <w:p>
      <w:pPr>
        <w:pStyle w:val="1270"/>
      </w:pPr>
      <w:r/>
      <w:r/>
    </w:p>
    <w:p>
      <w:pPr>
        <w:pStyle w:val="1270"/>
      </w:pPr>
      <w:r>
        <w:t xml:space="preserve">1. Зона санитарной охраны источника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  <w:r/>
    </w:p>
    <w:p>
      <w:pPr>
        <w:pStyle w:val="1270"/>
      </w:pPr>
      <w:r>
        <w:t xml:space="preserve">2. Зона санитарной охраны источника водоснабжения организуется в составе трех поясов, каждый из которых предусматривает особый режим хозяйственной деятельности:</w:t>
      </w:r>
      <w:r/>
    </w:p>
    <w:p>
      <w:pPr>
        <w:pStyle w:val="1270"/>
      </w:pPr>
      <w:r>
        <w:t xml:space="preserve"> - первый пояс 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повреждения. </w:t>
      </w:r>
      <w:r/>
    </w:p>
    <w:p>
      <w:pPr>
        <w:pStyle w:val="1270"/>
      </w:pPr>
      <w:r>
        <w:t xml:space="preserve">- второй пояс (пояс охраны от бактериологического загрязнения) включает территорию, предназначенную для предупреждения загрязнения от микробных (бактериологических) загрязнений.</w:t>
      </w:r>
      <w:r/>
    </w:p>
    <w:p>
      <w:pPr>
        <w:pStyle w:val="1270"/>
      </w:pPr>
      <w:r>
        <w:t xml:space="preserve"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  <w:r/>
    </w:p>
    <w:p>
      <w:pPr>
        <w:pStyle w:val="1270"/>
      </w:pP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3. Ограничения использования земельных участков и объектов капитального строительства на территории зон</w:t>
      </w:r>
      <w:r>
        <w:rPr>
          <w:rFonts w:cs="Times New Roman"/>
          <w:iCs/>
          <w:color w:val="000000"/>
          <w:spacing w:val="4"/>
          <w:szCs w:val="28"/>
        </w:rPr>
        <w:t xml:space="preserve">ы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санитарной охраны источник</w:t>
      </w:r>
      <w:r>
        <w:rPr>
          <w:iCs/>
          <w:color w:val="000000"/>
          <w:spacing w:val="4"/>
        </w:rPr>
        <w:t xml:space="preserve">а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водоснабжения определяются в соответствии с законодательством Российской Федерации.</w:t>
      </w:r>
      <w:r/>
    </w:p>
    <w:p>
      <w:pPr>
        <w:pStyle w:val="1270"/>
      </w:pPr>
      <w:r/>
      <w:r/>
    </w:p>
    <w:p>
      <w:pPr>
        <w:pStyle w:val="863"/>
        <w:contextualSpacing/>
        <w:ind w:firstLine="680"/>
        <w:widowControl w:val="off"/>
      </w:pPr>
      <w:r/>
      <w:bookmarkStart w:id="57" w:name="_Toc36"/>
      <w:r/>
      <w:bookmarkStart w:id="58" w:name="_Toc208237222"/>
      <w:r>
        <w:rPr>
          <w:rFonts w:eastAsia="Calibri" w:cs="Times New Roman"/>
          <w:color w:val="000000"/>
          <w:spacing w:val="0"/>
          <w:shd w:val="clear" w:color="auto" w:fill="auto"/>
        </w:rPr>
        <w:t xml:space="preserve">Статья 1</w:t>
      </w:r>
      <w:r>
        <w:rPr>
          <w:rFonts w:eastAsia="Calibri" w:cs="Times New Roman"/>
          <w:color w:val="000000"/>
          <w:shd w:val="clear" w:color="auto" w:fill="auto"/>
        </w:rPr>
        <w:t xml:space="preserve">5</w:t>
      </w:r>
      <w:r>
        <w:rPr>
          <w:rFonts w:eastAsia="Calibri" w:cs="Times New Roman"/>
          <w:color w:val="000000"/>
          <w:spacing w:val="0"/>
          <w:shd w:val="clear" w:color="auto" w:fill="auto"/>
        </w:rPr>
        <w:t xml:space="preserve">.5. </w:t>
      </w:r>
      <w:r>
        <w:rPr>
          <w:rFonts w:eastAsia="Times New Roman" w:cs="Times New Roman"/>
          <w:color w:val="000000"/>
          <w:spacing w:val="0"/>
          <w:shd w:val="clear" w:color="auto" w:fill="auto"/>
          <w:lang w:eastAsia="ru-RU"/>
        </w:rPr>
        <w:t xml:space="preserve">Придорожные полосы автомобильных дорог</w:t>
      </w:r>
      <w:bookmarkEnd w:id="57"/>
      <w:r/>
      <w:bookmarkEnd w:id="58"/>
      <w:r/>
      <w:r/>
    </w:p>
    <w:p>
      <w:pPr>
        <w:contextualSpacing/>
        <w:ind w:firstLine="680"/>
        <w:widowControl w:val="off"/>
        <w:rPr>
          <w:color w:val="000000"/>
        </w:rPr>
      </w:pPr>
      <w:r>
        <w:rPr>
          <w:color w:val="000000"/>
        </w:rPr>
      </w:r>
      <w:r/>
    </w:p>
    <w:p>
      <w:pPr>
        <w:pStyle w:val="1303"/>
        <w:contextualSpacing/>
        <w:ind w:firstLine="680"/>
        <w:rPr>
          <w:sz w:val="24"/>
          <w:szCs w:val="24"/>
        </w:rPr>
      </w:pPr>
      <w:r>
        <w:rPr>
          <w:rFonts w:eastAsia="Times New Roman"/>
          <w:iCs/>
          <w:color w:val="000000"/>
          <w:lang w:eastAsia="ru-RU" w:bidi="ru-RU"/>
        </w:rPr>
        <w:t xml:space="preserve">1. </w:t>
      </w:r>
      <w:r>
        <w:rPr>
          <w:rFonts w:eastAsia="Times New Roman"/>
          <w:iCs/>
          <w:color w:val="000000"/>
          <w:lang w:eastAsia="ru-RU"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</w:t>
      </w:r>
      <w:r>
        <w:rPr>
          <w:rFonts w:eastAsia="Times New Roman"/>
          <w:iCs/>
          <w:color w:val="000000"/>
          <w:lang w:eastAsia="ru-RU" w:bidi="ru-RU"/>
        </w:rPr>
        <w:t xml:space="preserve">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r/>
    </w:p>
    <w:p>
      <w:pPr>
        <w:pStyle w:val="1270"/>
        <w:contextualSpacing/>
        <w:ind w:firstLine="680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2. 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color w:val="000000"/>
          <w:spacing w:val="4"/>
          <w:szCs w:val="28"/>
        </w:rPr>
        <w:t xml:space="preserve"> Федеральном законом от 08.11.2007 № 257-ФЗ </w:t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/>
    </w:p>
    <w:p>
      <w:pPr>
        <w:pStyle w:val="1303"/>
        <w:contextualSpacing/>
        <w:ind w:firstLine="680"/>
      </w:pPr>
      <w:r>
        <w:rPr>
          <w:rFonts w:eastAsia="Times New Roman"/>
          <w:iCs/>
          <w:color w:val="000000"/>
          <w:lang w:eastAsia="ru-RU" w:bidi="ru-RU"/>
        </w:rPr>
        <w:t xml:space="preserve">3. Строительство, реконст</w:t>
      </w:r>
      <w:r>
        <w:rPr>
          <w:rFonts w:eastAsia="Times New Roman"/>
          <w:iCs/>
          <w:color w:val="000000"/>
          <w:lang w:eastAsia="ru-RU" w:bidi="ru-RU"/>
        </w:rPr>
        <w:t xml:space="preserve">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</w:t>
      </w:r>
      <w:r>
        <w:rPr>
          <w:rFonts w:eastAsia="Times New Roman"/>
          <w:iCs/>
          <w:color w:val="000000"/>
          <w:lang w:eastAsia="ru-RU" w:bidi="ru-RU"/>
        </w:rPr>
        <w:t xml:space="preserve">допускаются при наличии согласования в письменной форме владельца автомобильной дороги. Это согласование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</w:t>
      </w:r>
      <w:r>
        <w:rPr>
          <w:rFonts w:eastAsia="Times New Roman"/>
          <w:iCs/>
          <w:color w:val="000000"/>
          <w:lang w:eastAsia="ru-RU" w:bidi="ru-RU"/>
        </w:rPr>
        <w:t xml:space="preserve">придорожных полос автомобильной дороги таких объектов, установку рекламных конструкций, информационных щитов и указателей.</w:t>
      </w:r>
      <w:r/>
    </w:p>
    <w:p>
      <w:pPr>
        <w:pStyle w:val="1303"/>
        <w:contextualSpacing/>
        <w:ind w:firstLine="680"/>
      </w:pPr>
      <w:r/>
      <w:r/>
    </w:p>
    <w:p>
      <w:pPr>
        <w:pStyle w:val="863"/>
        <w:contextualSpacing/>
      </w:pPr>
      <w:r/>
      <w:bookmarkStart w:id="59" w:name="_Toc208237223"/>
      <w:r>
        <w:rPr>
          <w:rFonts w:cs="Times New Roman"/>
          <w:color w:val="000000"/>
          <w:shd w:val="clear" w:color="auto" w:fill="auto"/>
        </w:rPr>
        <w:t xml:space="preserve">Статья 15.6. Охранная зона пункта государственной геодезической сети</w:t>
      </w:r>
      <w:bookmarkEnd w:id="59"/>
      <w:r/>
      <w:r/>
    </w:p>
    <w:p>
      <w:pPr>
        <w:pStyle w:val="1270"/>
      </w:pPr>
      <w:r/>
      <w:r/>
    </w:p>
    <w:p>
      <w:pPr>
        <w:pStyle w:val="1270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1. Охранная зона пунктов государств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енной геодезической сети устанавливается согласно постановлению Правительства Российской Федерации от 21.08.2019 № 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  <w:r/>
    </w:p>
    <w:p>
      <w:pPr>
        <w:pStyle w:val="1270"/>
        <w:rPr>
          <w:color w:val="000000"/>
        </w:rPr>
      </w:pPr>
      <w:r>
        <w:rPr>
          <w:rFonts w:eastAsia="Arial" w:cs="Times New Roman"/>
          <w:iCs/>
          <w:color w:val="000000"/>
          <w:szCs w:val="28"/>
        </w:rPr>
        <w:t xml:space="preserve">2. В пределах границ охранных зон пунктов запрещается использование земельны</w:t>
      </w:r>
      <w:r>
        <w:rPr>
          <w:rFonts w:eastAsia="Arial" w:cs="Times New Roman"/>
          <w:iCs/>
          <w:color w:val="000000"/>
          <w:szCs w:val="28"/>
        </w:rPr>
        <w:t xml:space="preserve">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  <w:r/>
    </w:p>
    <w:p>
      <w:pPr>
        <w:pStyle w:val="1270"/>
        <w:contextualSpacing/>
        <w:rPr>
          <w:color w:val="000000"/>
        </w:rPr>
      </w:pPr>
      <w:r>
        <w:rPr>
          <w:color w:val="000000"/>
        </w:rPr>
      </w:r>
      <w:r/>
    </w:p>
    <w:p>
      <w:pPr>
        <w:pStyle w:val="863"/>
        <w:contextualSpacing/>
      </w:pPr>
      <w:r/>
      <w:bookmarkStart w:id="60" w:name="_Toc208237224"/>
      <w:r>
        <w:rPr>
          <w:rFonts w:cs="Times New Roman"/>
          <w:color w:val="000000"/>
          <w:shd w:val="clear" w:color="auto" w:fill="auto"/>
        </w:rPr>
        <w:t xml:space="preserve">Статья 15.7. Зона минимальных расстояний до магистральных или промышленных трубопроводов</w:t>
      </w:r>
      <w:bookmarkEnd w:id="60"/>
      <w:r>
        <w:rPr>
          <w:rFonts w:cs="Times New Roman"/>
          <w:color w:val="000000"/>
          <w:shd w:val="clear" w:color="auto" w:fill="auto"/>
        </w:rPr>
        <w:t xml:space="preserve"> </w:t>
      </w:r>
      <w:r/>
    </w:p>
    <w:p>
      <w:pPr>
        <w:pStyle w:val="1270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1. 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2. В зоне минимальных расстояний до магистральных или технологических трубопроводов запрещается размещать: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жилые здания; 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 отдельно стоящие здания с массовым скоплением людей (школы, больницы, клубы, детские сады и ясли, вокзалы и т.д.);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железнодорожные станции</w:t>
      </w:r>
      <w:r>
        <w:rPr>
          <w:szCs w:val="28"/>
        </w:rPr>
        <w:t xml:space="preserve">;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аэропорты; морские и речные порты и пристани;</w:t>
      </w:r>
      <w:r/>
    </w:p>
    <w:p>
      <w:pPr>
        <w:pStyle w:val="1270"/>
      </w:pPr>
      <w:r>
        <w:rPr>
          <w:rFonts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коллективные сады с садовыми домиками, дачные поселки;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 отдельные промышленные и сельскохозяйственные предприятия; 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тепличные комбинаты и хозяйства; 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 птицефабрики;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молокозаводы;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карьеры разработки полезных ископаемых; 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гаражи и открытые стоянки;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гидроэлектростанции;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 гидротехнические сооружения морского и речного транспорта;</w:t>
      </w:r>
      <w:r/>
    </w:p>
    <w:p>
      <w:pPr>
        <w:pStyle w:val="1270"/>
      </w:pPr>
      <w:r>
        <w:t xml:space="preserve">-</w:t>
      </w:r>
      <w:r>
        <w:rPr>
          <w:rFonts w:eastAsia="Times New Roman" w:cs="Times New Roman"/>
          <w:szCs w:val="28"/>
        </w:rPr>
        <w:t xml:space="preserve"> очистные сооружения и насосные станции водопроводные,</w:t>
      </w:r>
      <w:r>
        <w:rPr>
          <w:rFonts w:eastAsia="Times New Roman" w:cs="Times New Roman"/>
          <w:szCs w:val="28"/>
        </w:rPr>
        <w:br/>
        <w:t xml:space="preserve">не относящиеся к магистральному трубопроводу,</w:t>
      </w:r>
      <w:r/>
    </w:p>
    <w:p>
      <w:pPr>
        <w:pStyle w:val="1270"/>
      </w:pPr>
      <w:r>
        <w:rPr>
          <w:szCs w:val="28"/>
        </w:rPr>
        <w:t xml:space="preserve">-</w:t>
      </w:r>
      <w:r>
        <w:rPr>
          <w:rFonts w:eastAsia="Times New Roman" w:cs="Times New Roman"/>
          <w:szCs w:val="28"/>
        </w:rPr>
        <w:t xml:space="preserve">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 склады легковоспламеняющихся и горючих жидкостей и газов с объемом хранения свыше 1000 куб. м;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 автозаправочные станции;</w:t>
      </w:r>
      <w:r/>
    </w:p>
    <w:p>
      <w:pPr>
        <w:pStyle w:val="1270"/>
      </w:pPr>
      <w:r>
        <w:rPr>
          <w:rFonts w:eastAsia="Times New Roman" w:cs="Times New Roman"/>
          <w:szCs w:val="28"/>
        </w:rPr>
        <w:t xml:space="preserve">- мачты (башни), телевизионные башни и сооружения линий связи операторов связи – владельцев сетей</w:t>
      </w:r>
      <w:r>
        <w:t xml:space="preserve">;</w:t>
      </w:r>
      <w:r/>
    </w:p>
    <w:p>
      <w:pPr>
        <w:pStyle w:val="1270"/>
      </w:pPr>
      <w:r>
        <w:t xml:space="preserve">-</w:t>
      </w:r>
      <w:r>
        <w:rPr>
          <w:rFonts w:eastAsia="Times New Roman" w:cs="Times New Roman"/>
          <w:szCs w:val="28"/>
        </w:rPr>
        <w:t xml:space="preserve"> кладбища</w:t>
      </w:r>
      <w:r>
        <w:rPr>
          <w:szCs w:val="28"/>
        </w:rPr>
        <w:t xml:space="preserve">;</w:t>
      </w:r>
      <w:r/>
    </w:p>
    <w:p>
      <w:pPr>
        <w:pStyle w:val="1270"/>
        <w:rPr>
          <w:rFonts w:eastAsia="Times New Roman" w:cs="Times New Roman"/>
        </w:rPr>
      </w:pPr>
      <w:r>
        <w:rPr>
          <w:rFonts w:eastAsia="Times New Roman" w:cs="Times New Roman"/>
          <w:iCs/>
          <w:color w:val="000000"/>
          <w:spacing w:val="4"/>
          <w:szCs w:val="28"/>
        </w:rPr>
        <w:t xml:space="preserve">-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 сельскохозяйственные фермы и огороженные участки для организованного выпаса скота.</w:t>
      </w:r>
      <w:r/>
    </w:p>
    <w:p>
      <w:pPr>
        <w:pStyle w:val="1270"/>
        <w:contextualSpacing/>
      </w:pPr>
      <w:r/>
      <w:r/>
    </w:p>
    <w:p>
      <w:pPr>
        <w:pStyle w:val="863"/>
        <w:contextualSpacing/>
        <w:ind w:firstLine="680"/>
        <w:widowControl w:val="off"/>
        <w:rPr>
          <w:rFonts w:eastAsia="Calibri" w:cs="Times New Roman"/>
          <w:color w:val="000000"/>
          <w:spacing w:val="0"/>
        </w:rPr>
      </w:pPr>
      <w:r/>
      <w:bookmarkStart w:id="61" w:name="_Toc208237225"/>
      <w:r/>
      <w:bookmarkStart w:id="62" w:name="_Toc301"/>
      <w:r>
        <w:rPr>
          <w:rFonts w:eastAsia="Calibri" w:cs="Times New Roman"/>
          <w:color w:val="000000"/>
          <w:spacing w:val="0"/>
          <w:shd w:val="clear" w:color="auto" w:fill="auto"/>
        </w:rPr>
        <w:t xml:space="preserve">Статья 16. Особо охраняемые природные территории</w:t>
      </w:r>
      <w:bookmarkEnd w:id="61"/>
      <w:r>
        <w:rPr>
          <w:rFonts w:eastAsia="Calibri" w:cs="Times New Roman"/>
          <w:color w:val="000000"/>
          <w:spacing w:val="0"/>
          <w:shd w:val="clear" w:color="auto" w:fill="auto"/>
        </w:rPr>
        <w:t xml:space="preserve"> </w:t>
      </w:r>
      <w:bookmarkEnd w:id="62"/>
      <w:r/>
      <w:r/>
    </w:p>
    <w:p>
      <w:pPr>
        <w:contextualSpacing/>
        <w:ind w:firstLine="6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270"/>
        <w:contextualSpacing/>
        <w:ind w:firstLine="567"/>
        <w:rPr>
          <w:color w:val="000000"/>
        </w:rPr>
      </w:pP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На территории </w:t>
      </w:r>
      <w:r>
        <w:rPr>
          <w:iCs/>
          <w:color w:val="000000"/>
          <w:spacing w:val="5"/>
          <w:szCs w:val="28"/>
        </w:rPr>
        <w:t xml:space="preserve">Булгаковского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сельского округа расположен памятник природы областного значения «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Сынтульское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озеро-пруд», образованный Решением Исполкома 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Рязоблсовета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деп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утатов трудящихся от 30.12.1974 № 366 «О признании водных объектов памятниками природы». Паспорт на памятник природы утвержден Постановлением Минприроды Рязанской области от 30.11.2012 № 15 «Об утверждении паспорта на памятник природы областного значения «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Сынтульское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озеро-пруд». Границы памятника природы (реестровый номер 62:04-9.1) и охранной зоны памятника природы (реестровый номер 62:04-6.363).</w:t>
      </w:r>
      <w:r/>
    </w:p>
    <w:p>
      <w:pPr>
        <w:contextualSpacing/>
        <w:ind w:firstLine="680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r>
        <w:rPr>
          <w:sz w:val="28"/>
          <w:szCs w:val="28"/>
        </w:rPr>
        <w:t xml:space="preserve">Булгаковского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cs="Times New Roman"/>
          <w:color w:val="000000"/>
          <w:spacing w:val="5"/>
          <w:sz w:val="28"/>
          <w:szCs w:val="32"/>
        </w:rPr>
        <w:t xml:space="preserve">сельского округа </w:t>
      </w:r>
      <w:r>
        <w:rPr>
          <w:rFonts w:cs="Times New Roman"/>
          <w:color w:val="000000"/>
          <w:spacing w:val="5"/>
          <w:sz w:val="28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 w:val="28"/>
          <w:szCs w:val="32"/>
        </w:rPr>
        <w:t xml:space="preserve"> района Рязанской области</w:t>
      </w:r>
      <w:r>
        <w:rPr>
          <w:sz w:val="28"/>
          <w:szCs w:val="28"/>
        </w:rPr>
        <w:t xml:space="preserve"> отсутствуют ООПТ федерального и местного значения. </w:t>
      </w:r>
      <w:r/>
    </w:p>
    <w:p>
      <w:pPr>
        <w:contextualSpacing/>
        <w:ind w:firstLine="680"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Ограничения использования земельных участков и объектов капитального строительства на территории ООПТ, а также не территории охранных зон ООПТ определяются в соответствии с законодательством Российской Федерации.</w:t>
      </w:r>
      <w:r/>
    </w:p>
    <w:p>
      <w:pPr>
        <w:contextualSpacing/>
        <w:ind w:firstLine="6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3"/>
        <w:contextualSpacing/>
      </w:pPr>
      <w:r/>
      <w:bookmarkStart w:id="63" w:name="_Toc38"/>
      <w:r/>
      <w:bookmarkStart w:id="64" w:name="_Toc208237226"/>
      <w:r>
        <w:rPr>
          <w:rFonts w:cs="Times New Roman"/>
          <w:color w:val="000000"/>
          <w:shd w:val="clear" w:color="auto" w:fill="auto"/>
        </w:rPr>
        <w:t xml:space="preserve">Статья 17. Объекты культурного наследия</w:t>
      </w:r>
      <w:bookmarkEnd w:id="63"/>
      <w:r/>
      <w:bookmarkEnd w:id="64"/>
      <w:r/>
      <w:r/>
    </w:p>
    <w:p>
      <w:pPr>
        <w:contextualSpacing/>
        <w:ind w:firstLine="6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270"/>
      </w:pPr>
      <w:r>
        <w:rPr>
          <w:color w:val="000000"/>
        </w:rPr>
        <w:t xml:space="preserve">1. </w:t>
      </w:r>
      <w:r>
        <w:rPr>
          <w:rFonts w:cs="Times New Roman"/>
          <w:color w:val="000000"/>
          <w:szCs w:val="28"/>
        </w:rPr>
        <w:t xml:space="preserve">На территории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муниципального округа Рязанской области применительно к территории </w:t>
      </w:r>
      <w:r>
        <w:rPr>
          <w:color w:val="000000"/>
          <w:spacing w:val="5"/>
          <w:szCs w:val="28"/>
        </w:rPr>
        <w:t xml:space="preserve">Булгаковского</w:t>
      </w:r>
      <w:r>
        <w:rPr>
          <w:rFonts w:cs="Times New Roman"/>
          <w:color w:val="000000"/>
          <w:spacing w:val="5"/>
          <w:szCs w:val="32"/>
        </w:rPr>
        <w:t xml:space="preserve"> сельского округа </w:t>
      </w:r>
      <w:r>
        <w:rPr>
          <w:rFonts w:cs="Times New Roman"/>
          <w:color w:val="000000"/>
          <w:spacing w:val="5"/>
          <w:szCs w:val="32"/>
        </w:rPr>
        <w:t xml:space="preserve">Касимовского</w:t>
      </w:r>
      <w:r>
        <w:rPr>
          <w:rFonts w:cs="Times New Roman"/>
          <w:color w:val="000000"/>
          <w:spacing w:val="5"/>
          <w:szCs w:val="32"/>
        </w:rPr>
        <w:t xml:space="preserve"> района Рязанской области,</w:t>
      </w:r>
      <w:r>
        <w:rPr>
          <w:color w:val="000000"/>
        </w:rPr>
        <w:t xml:space="preserve"> отсутствуют исторические поселения федерального значения и исторические поселения регионального значения.</w:t>
      </w:r>
      <w:r/>
    </w:p>
    <w:p>
      <w:pPr>
        <w:pStyle w:val="1270"/>
      </w:pPr>
      <w:r>
        <w:rPr>
          <w:color w:val="000000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</w:t>
      </w:r>
      <w:r>
        <w:rPr>
          <w:iCs/>
          <w:color w:val="000000"/>
          <w:spacing w:val="5"/>
          <w:szCs w:val="28"/>
        </w:rPr>
        <w:t xml:space="preserve">Булгаковского</w:t>
      </w:r>
      <w:r>
        <w:rPr>
          <w:color w:val="000000"/>
        </w:rPr>
        <w:t xml:space="preserve"> сельского округа  </w:t>
      </w:r>
      <w:r>
        <w:rPr>
          <w:color w:val="000000"/>
          <w:shd w:val="clear" w:color="auto" w:fill="ffffff"/>
        </w:rPr>
        <w:t xml:space="preserve">находятся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  <w:t xml:space="preserve"> 1 объект культурного наследия федерального значения (памятник архитектуры), 8 выявленных объекта археологического наследия, указанные в таблицах 17.1-17.</w:t>
      </w:r>
      <w:r>
        <w:rPr>
          <w:color w:val="000000"/>
          <w:shd w:val="clear" w:color="auto" w:fill="ffffff"/>
        </w:rPr>
        <w:t xml:space="preserve">2</w:t>
      </w:r>
      <w:r>
        <w:rPr>
          <w:color w:val="000000"/>
          <w:shd w:val="clear" w:color="auto" w:fill="ffffff"/>
        </w:rPr>
        <w:t xml:space="preserve">.</w:t>
      </w:r>
      <w:r/>
    </w:p>
    <w:p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Таблица 17.1. Перечень объектов культурного наследия федерального значения (памятники архитектуры) </w:t>
      </w:r>
      <w:r/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626"/>
        <w:gridCol w:w="2495"/>
        <w:gridCol w:w="3510"/>
        <w:gridCol w:w="3290"/>
      </w:tblGrid>
      <w:tr>
        <w:trPr>
          <w:jc w:val="center"/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contextualSpacing/>
              <w:ind w:left="-110" w:right="-97"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Реквизиты и наименование нормативного акта о постановке объекта наследия на государственную охрану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«Церковь Рождества Христова (деревянная)», 1794 г., 1863г.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Даньково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СМ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РСФСР от 04.12.1974 № 624</w:t>
            </w:r>
            <w:r/>
          </w:p>
        </w:tc>
      </w:tr>
    </w:tbl>
    <w:p>
      <w:pPr>
        <w:pStyle w:val="1305"/>
        <w:ind w:firstLine="680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1305"/>
        <w:ind w:firstLine="680"/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Границы территории указанного объекта культурного наследия утверждены приказом Инспекции от 16.12.2019 № 134.</w:t>
      </w:r>
      <w:r/>
    </w:p>
    <w:p>
      <w:pPr>
        <w:pStyle w:val="1305"/>
        <w:ind w:firstLine="680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— Фед</w:t>
      </w:r>
      <w:r>
        <w:rPr>
          <w:sz w:val="28"/>
          <w:szCs w:val="28"/>
          <w:shd w:val="clear" w:color="auto" w:fill="ffffff"/>
        </w:rPr>
        <w:t xml:space="preserve">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</w:t>
      </w:r>
      <w:r>
        <w:rPr>
          <w:sz w:val="28"/>
          <w:szCs w:val="28"/>
          <w:shd w:val="clear" w:color="auto" w:fill="ffffff"/>
        </w:rPr>
        <w:t xml:space="preserve">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 </w:t>
      </w:r>
      <w:r/>
    </w:p>
    <w:p>
      <w:pPr>
        <w:pStyle w:val="1305"/>
        <w:ind w:firstLine="680"/>
        <w:jc w:val="both"/>
      </w:pPr>
      <w:r>
        <w:rPr>
          <w:sz w:val="28"/>
          <w:szCs w:val="28"/>
          <w:shd w:val="clear" w:color="auto" w:fill="ffffff"/>
        </w:rPr>
        <w:t xml:space="preserve">Согласно ст. 34.1 Ф</w:t>
      </w:r>
      <w:r>
        <w:rPr>
          <w:sz w:val="28"/>
          <w:szCs w:val="28"/>
          <w:shd w:val="clear" w:color="auto" w:fill="ffffff"/>
        </w:rPr>
        <w:t xml:space="preserve">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</w:t>
      </w:r>
      <w:r>
        <w:rPr>
          <w:sz w:val="28"/>
          <w:szCs w:val="28"/>
          <w:shd w:val="clear" w:color="auto" w:fill="ffffff"/>
        </w:rPr>
        <w:t xml:space="preserve">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r>
        <w:rPr>
          <w:sz w:val="28"/>
          <w:szCs w:val="28"/>
          <w:shd w:val="clear" w:color="auto" w:fill="ffffff"/>
        </w:rPr>
        <w:t xml:space="preserve">) запрещающих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</w:t>
      </w:r>
      <w:r/>
    </w:p>
    <w:p>
      <w:pPr>
        <w:pStyle w:val="1305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Границы защитной зоны объекта культурного наследия устанавливаются:</w:t>
      </w:r>
      <w:r/>
    </w:p>
    <w:p>
      <w:pPr>
        <w:pStyle w:val="1305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для памятника, расположенного в границах населенного пункта, на расстоянии 100 метров от внешних границ территории памятника;</w:t>
      </w:r>
      <w:r/>
    </w:p>
    <w:p>
      <w:pPr>
        <w:pStyle w:val="1305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для </w:t>
      </w:r>
      <w:r>
        <w:rPr>
          <w:sz w:val="28"/>
          <w:szCs w:val="28"/>
          <w:shd w:val="clear" w:color="auto" w:fill="ffffff"/>
        </w:rPr>
        <w:t xml:space="preserve">памятника</w:t>
      </w:r>
      <w:r>
        <w:rPr>
          <w:sz w:val="28"/>
          <w:szCs w:val="28"/>
          <w:shd w:val="clear" w:color="auto" w:fill="ffffff"/>
        </w:rPr>
        <w:t xml:space="preserve">, расположенного вне границ населенного пункта, на расстоянии 200 метров от внешних границ территории памятника.</w:t>
      </w:r>
      <w:r/>
    </w:p>
    <w:p>
      <w:pPr>
        <w:pStyle w:val="1305"/>
        <w:jc w:val="center"/>
        <w:rPr>
          <w:sz w:val="28"/>
          <w:szCs w:val="28"/>
          <w:shd w:val="clear" w:color="auto" w:fill="ff4000"/>
        </w:rPr>
      </w:pPr>
      <w:r>
        <w:rPr>
          <w:sz w:val="28"/>
          <w:szCs w:val="28"/>
          <w:shd w:val="clear" w:color="auto" w:fill="ff4000"/>
        </w:rPr>
      </w:r>
      <w:r/>
    </w:p>
    <w:p>
      <w:pPr>
        <w:pStyle w:val="1305"/>
        <w:jc w:val="center"/>
        <w:rPr>
          <w:sz w:val="28"/>
          <w:szCs w:val="28"/>
          <w:shd w:val="clear" w:color="auto" w:fill="ff4000"/>
        </w:rPr>
      </w:pPr>
      <w:r>
        <w:rPr>
          <w:sz w:val="28"/>
          <w:szCs w:val="28"/>
          <w:shd w:val="clear" w:color="auto" w:fill="ff4000"/>
        </w:rPr>
      </w:r>
      <w:r/>
    </w:p>
    <w:p>
      <w:pPr>
        <w:pStyle w:val="1305"/>
        <w:jc w:val="center"/>
        <w:rPr>
          <w:sz w:val="28"/>
          <w:szCs w:val="28"/>
          <w:shd w:val="clear" w:color="auto" w:fill="ff4000"/>
        </w:rPr>
      </w:pPr>
      <w:r>
        <w:rPr>
          <w:sz w:val="28"/>
          <w:szCs w:val="28"/>
          <w:shd w:val="clear" w:color="auto" w:fill="ff4000"/>
        </w:rPr>
      </w:r>
      <w:r/>
    </w:p>
    <w:p>
      <w:pPr>
        <w:pStyle w:val="1305"/>
        <w:jc w:val="center"/>
        <w:rPr>
          <w:sz w:val="28"/>
          <w:szCs w:val="28"/>
          <w:shd w:val="clear" w:color="auto" w:fill="ff4000"/>
        </w:rPr>
      </w:pPr>
      <w:r>
        <w:rPr>
          <w:sz w:val="28"/>
          <w:szCs w:val="28"/>
          <w:shd w:val="clear" w:color="auto" w:fill="ff4000"/>
        </w:rPr>
      </w:r>
      <w:r/>
    </w:p>
    <w:p>
      <w:pPr>
        <w:pStyle w:val="1305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Таблица 17.2. Перечень выявленных объектов археологического наследия </w:t>
      </w:r>
      <w:r/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626"/>
        <w:gridCol w:w="2495"/>
        <w:gridCol w:w="3510"/>
        <w:gridCol w:w="3290"/>
      </w:tblGrid>
      <w:tr>
        <w:trPr>
          <w:jc w:val="center"/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contextualSpacing/>
              <w:ind w:left="-110" w:right="-97" w:firstLine="0"/>
              <w:jc w:val="center"/>
              <w:widowControl w:val="off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Реквизиты и наименование нормативного акта о постановке объекта археологического наследия на государственную охрану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Алешино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 км к ЮЗ от д.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Алешино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Приказ комитета по культуре и туризму Рязанской области от 14.04.2011 № 269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Земская курганная группа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0,2 км к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 западной окраины д. Земское на правом берегу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р.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Макарьиха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290"/>
              <w:jc w:val="center"/>
              <w:widowControl w:val="off"/>
            </w:pPr>
            <w: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Земское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1,5 км к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Ю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 д. Земское, на правом берегу р.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Макарьиха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Земское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Восточная окраина д. 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Земское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левый берег р.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Макарьиха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Царицыно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 км к ЮЮЗ от д.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Царицино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на правом берегу р. 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Мудровка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Царицыно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 км к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Ю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 д.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Царицино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на левом берегу р. 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Мудровка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Алешино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0,5 км к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 д. Алешино, на левом берегу р.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Макарьевка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  <w:tr>
        <w:trPr>
          <w:jc w:val="center"/>
          <w:trHeight w:val="90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  <w:tabs>
                <w:tab w:val="left" w:pos="1324" w:leader="none"/>
              </w:tabs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Алешино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0,8 км к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 д. Алешино, на левом берегу р.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Макарьевка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0" w:type="dxa"/>
            <w:vAlign w:val="center"/>
            <w:textDirection w:val="lrTb"/>
            <w:noWrap w:val="false"/>
          </w:tcPr>
          <w:p>
            <w:pPr>
              <w:pStyle w:val="13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*-*</w:t>
            </w:r>
            <w:r/>
          </w:p>
        </w:tc>
      </w:tr>
    </w:tbl>
    <w:p>
      <w:pPr>
        <w:pStyle w:val="1270"/>
      </w:pPr>
      <w:r>
        <w:rPr>
          <w:color w:val="000000"/>
          <w:highlight w:val="none"/>
          <w:shd w:val="clear" w:color="auto" w:fill="ffffff"/>
        </w:rPr>
      </w:r>
      <w:r>
        <w:rPr>
          <w:color w:val="000000"/>
          <w:highlight w:val="none"/>
          <w:shd w:val="clear" w:color="auto" w:fill="ffffff"/>
        </w:rPr>
      </w:r>
    </w:p>
    <w:p>
      <w:pPr>
        <w:pStyle w:val="1270"/>
        <w:rPr>
          <w:color w:val="000000"/>
          <w:highlight w:val="none"/>
        </w:rPr>
      </w:pPr>
      <w:r>
        <w:rPr>
          <w:color w:val="000000"/>
          <w:shd w:val="clear" w:color="auto" w:fill="ffffff"/>
        </w:rPr>
        <w:t xml:space="preserve">Границы территорий указанных выявленных объектов не утверждены.</w:t>
      </w:r>
      <w:r/>
    </w:p>
    <w:p>
      <w:pPr>
        <w:pStyle w:val="1270"/>
      </w:pPr>
      <w:r>
        <w:rPr>
          <w:color w:val="000000"/>
          <w:shd w:val="clear" w:color="auto" w:fill="ffffff"/>
        </w:rPr>
        <w:t xml:space="preserve">В соответствии с Федеральным законом </w:t>
      </w:r>
      <w:r>
        <w:rPr>
          <w:color w:val="000000"/>
          <w:szCs w:val="28"/>
          <w:shd w:val="clear" w:color="auto" w:fill="ffffff"/>
        </w:rPr>
        <w:t xml:space="preserve">от 25.</w:t>
      </w:r>
      <w:r>
        <w:rPr>
          <w:color w:val="000000"/>
          <w:shd w:val="clear" w:color="auto" w:fill="ffffff"/>
        </w:rPr>
        <w:t xml:space="preserve">06.</w:t>
      </w:r>
      <w:r>
        <w:rPr>
          <w:color w:val="000000"/>
          <w:szCs w:val="28"/>
          <w:shd w:val="clear" w:color="auto" w:fill="ffffff"/>
        </w:rPr>
        <w:t xml:space="preserve">2002 № 73-ФЗ</w:t>
      </w:r>
      <w:r>
        <w:rPr>
          <w:color w:val="000000"/>
          <w:szCs w:val="28"/>
          <w:shd w:val="clear" w:color="auto" w:fill="ffffff"/>
        </w:rPr>
        <w:t xml:space="preserve"> </w:t>
        <w:br/>
        <w:t xml:space="preserve">«Об объектах культурного наследия (памятниках истории и культуры) народов Российской Федерации» </w:t>
      </w:r>
      <w:r>
        <w:rPr>
          <w:color w:val="000000"/>
          <w:shd w:val="clear" w:color="auto" w:fill="ffffff"/>
        </w:rPr>
        <w:t xml:space="preserve">п</w:t>
      </w:r>
      <w:r>
        <w:rPr>
          <w:color w:val="000000"/>
          <w:shd w:val="clear" w:color="auto" w:fill="ffffff"/>
        </w:rPr>
        <w:t xml:space="preserve">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  <w:r/>
    </w:p>
    <w:p>
      <w:pPr>
        <w:pStyle w:val="127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</w:t>
      </w:r>
      <w:r>
        <w:rPr>
          <w:color w:val="000000"/>
          <w:shd w:val="clear" w:color="auto" w:fill="ffffff"/>
        </w:rPr>
        <w:t xml:space="preserve">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  <w:r/>
    </w:p>
    <w:p>
      <w:pPr>
        <w:pStyle w:val="1270"/>
      </w:pPr>
      <w:r>
        <w:rPr>
          <w:rStyle w:val="1266"/>
          <w:color w:val="000000"/>
          <w:spacing w:val="2"/>
          <w:sz w:val="28"/>
          <w:szCs w:val="28"/>
          <w:shd w:val="clear" w:color="auto" w:fill="ffffff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;ＭＳ 明朝">
    <w:panose1 w:val="020B0604020202020204"/>
  </w:font>
  <w:font w:name="0">
    <w:panose1 w:val="020B0604020202020204"/>
  </w:font>
  <w:font w:name="Peterburg">
    <w:panose1 w:val="020B0604020202020204"/>
  </w:font>
  <w:font w:name="Tahoma">
    <w:panose1 w:val="020B0604030504040204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Liberation Mono">
    <w:panose1 w:val="02070409020205020404"/>
  </w:font>
  <w:font w:name="XO Thames;Times New Roman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Bookman Old Style">
    <w:panose1 w:val="02060603050605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6"/>
    </w:pPr>
    <w:r>
      <w:fldChar w:fldCharType="begin"/>
    </w:r>
    <w:r>
      <w:instrText xml:space="preserve">PAGE</w:instrText>
    </w:r>
    <w:r>
      <w:fldChar w:fldCharType="separate"/>
    </w:r>
    <w:r>
      <w:t xml:space="preserve">37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6"/>
    </w:pPr>
    <w:r>
      <w:fldChar w:fldCharType="begin"/>
    </w:r>
    <w:r>
      <w:instrText xml:space="preserve">PAGE</w:instrText>
    </w:r>
    <w:r>
      <w:fldChar w:fldCharType="separate"/>
    </w:r>
    <w:r>
      <w:t xml:space="preserve">36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72"/>
    <w:link w:val="863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72"/>
    <w:link w:val="864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72"/>
    <w:link w:val="865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72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72"/>
    <w:link w:val="86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72"/>
    <w:link w:val="86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72"/>
    <w:link w:val="8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72"/>
    <w:link w:val="87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72"/>
    <w:link w:val="871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62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62"/>
    <w:next w:val="86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2"/>
    <w:link w:val="719"/>
    <w:uiPriority w:val="10"/>
    <w:rPr>
      <w:sz w:val="48"/>
      <w:szCs w:val="48"/>
    </w:rPr>
  </w:style>
  <w:style w:type="character" w:styleId="721">
    <w:name w:val="Subtitle Char"/>
    <w:basedOn w:val="872"/>
    <w:link w:val="1288"/>
    <w:uiPriority w:val="11"/>
    <w:rPr>
      <w:sz w:val="24"/>
      <w:szCs w:val="24"/>
    </w:rPr>
  </w:style>
  <w:style w:type="paragraph" w:styleId="722">
    <w:name w:val="Quote"/>
    <w:basedOn w:val="862"/>
    <w:next w:val="86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62"/>
    <w:next w:val="86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2"/>
    <w:link w:val="1276"/>
    <w:uiPriority w:val="99"/>
  </w:style>
  <w:style w:type="character" w:styleId="727">
    <w:name w:val="Footer Char"/>
    <w:basedOn w:val="872"/>
    <w:link w:val="1277"/>
    <w:uiPriority w:val="99"/>
  </w:style>
  <w:style w:type="character" w:styleId="728">
    <w:name w:val="Caption Char"/>
    <w:basedOn w:val="1272"/>
    <w:link w:val="1277"/>
    <w:uiPriority w:val="99"/>
  </w:style>
  <w:style w:type="table" w:styleId="729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829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830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831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832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833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834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36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37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38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39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40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41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43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44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45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46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47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48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Footnote Text Char"/>
    <w:link w:val="1289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62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ind w:firstLine="567"/>
      <w:jc w:val="both"/>
    </w:pPr>
    <w:rPr>
      <w:rFonts w:ascii="Times New Roman" w:hAnsi="Times New Roman" w:eastAsia="Calibri" w:cs="Calibri"/>
      <w:sz w:val="24"/>
      <w:szCs w:val="22"/>
      <w:lang w:bidi="ar-SA"/>
    </w:rPr>
  </w:style>
  <w:style w:type="paragraph" w:styleId="863">
    <w:name w:val="Heading 1"/>
    <w:basedOn w:val="862"/>
    <w:next w:val="862"/>
    <w:qFormat/>
    <w:pPr>
      <w:ind w:firstLine="709"/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864">
    <w:name w:val="Heading 2"/>
    <w:basedOn w:val="862"/>
    <w:next w:val="862"/>
    <w:qFormat/>
    <w:pPr>
      <w:ind w:left="1440" w:hanging="720"/>
      <w:jc w:val="left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865">
    <w:name w:val="Heading 3"/>
    <w:basedOn w:val="862"/>
    <w:next w:val="862"/>
    <w:qFormat/>
    <w:p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866">
    <w:name w:val="Heading 4"/>
    <w:basedOn w:val="862"/>
    <w:next w:val="862"/>
    <w:qFormat/>
    <w:pPr>
      <w:ind w:left="2880" w:hanging="720"/>
      <w:jc w:val="left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867">
    <w:name w:val="Heading 5"/>
    <w:basedOn w:val="862"/>
    <w:next w:val="862"/>
    <w:qFormat/>
    <w:pPr>
      <w:ind w:left="3600" w:hanging="720"/>
      <w:jc w:val="left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868">
    <w:name w:val="Heading 6"/>
    <w:basedOn w:val="862"/>
    <w:next w:val="862"/>
    <w:qFormat/>
    <w:pPr>
      <w:ind w:left="4320" w:hanging="720"/>
      <w:jc w:val="left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869">
    <w:name w:val="Heading 7"/>
    <w:basedOn w:val="862"/>
    <w:next w:val="862"/>
    <w:qFormat/>
    <w:pPr>
      <w:ind w:left="5040" w:hanging="720"/>
      <w:jc w:val="left"/>
      <w:spacing w:before="240" w:after="60"/>
      <w:outlineLvl w:val="6"/>
    </w:pPr>
    <w:rPr>
      <w:rFonts w:ascii="Calibri" w:hAnsi="Calibri" w:eastAsia="Times New Roman" w:cs="Times New Roman"/>
      <w:szCs w:val="24"/>
      <w:lang w:val="en-US"/>
    </w:rPr>
  </w:style>
  <w:style w:type="paragraph" w:styleId="870">
    <w:name w:val="Heading 8"/>
    <w:basedOn w:val="862"/>
    <w:next w:val="862"/>
    <w:qFormat/>
    <w:pPr>
      <w:ind w:left="5760" w:hanging="720"/>
      <w:jc w:val="left"/>
      <w:spacing w:before="240" w:after="60"/>
      <w:outlineLvl w:val="7"/>
    </w:pPr>
    <w:rPr>
      <w:rFonts w:ascii="Calibri" w:hAnsi="Calibri" w:eastAsia="Times New Roman" w:cs="Times New Roman"/>
      <w:i/>
      <w:iCs/>
      <w:szCs w:val="24"/>
      <w:lang w:val="en-US"/>
    </w:rPr>
  </w:style>
  <w:style w:type="paragraph" w:styleId="871">
    <w:name w:val="Heading 9"/>
    <w:basedOn w:val="862"/>
    <w:next w:val="862"/>
    <w:qFormat/>
    <w:pPr>
      <w:ind w:left="6480" w:hanging="720"/>
      <w:jc w:val="left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Основной шрифт абзаца13"/>
    <w:qFormat/>
  </w:style>
  <w:style w:type="character" w:styleId="876" w:customStyle="1">
    <w:name w:val="Основной шрифт абзаца12"/>
    <w:qFormat/>
  </w:style>
  <w:style w:type="character" w:styleId="877" w:customStyle="1">
    <w:name w:val="Основной шрифт абзаца11"/>
    <w:qFormat/>
  </w:style>
  <w:style w:type="character" w:styleId="878" w:customStyle="1">
    <w:name w:val="Основной шрифт абзаца10"/>
    <w:qFormat/>
  </w:style>
  <w:style w:type="character" w:styleId="879" w:customStyle="1">
    <w:name w:val="Основной шрифт абзаца9"/>
    <w:qFormat/>
  </w:style>
  <w:style w:type="character" w:styleId="880" w:customStyle="1">
    <w:name w:val="Основной шрифт абзаца8"/>
    <w:qFormat/>
  </w:style>
  <w:style w:type="character" w:styleId="881" w:customStyle="1">
    <w:name w:val="Основной шрифт абзаца7"/>
    <w:qFormat/>
  </w:style>
  <w:style w:type="character" w:styleId="882" w:customStyle="1">
    <w:name w:val="Основной шрифт абзаца6"/>
    <w:qFormat/>
  </w:style>
  <w:style w:type="character" w:styleId="883" w:customStyle="1">
    <w:name w:val="Основной шрифт абзаца5"/>
    <w:qFormat/>
  </w:style>
  <w:style w:type="character" w:styleId="884" w:customStyle="1">
    <w:name w:val="Основной шрифт абзаца4"/>
    <w:qFormat/>
  </w:style>
  <w:style w:type="character" w:styleId="885" w:customStyle="1">
    <w:name w:val="Основной шрифт абзаца3"/>
    <w:qFormat/>
  </w:style>
  <w:style w:type="character" w:styleId="886" w:customStyle="1">
    <w:name w:val="Основной шрифт абзаца2"/>
    <w:qFormat/>
  </w:style>
  <w:style w:type="character" w:styleId="887" w:customStyle="1">
    <w:name w:val="WW8Num16z1"/>
    <w:qFormat/>
  </w:style>
  <w:style w:type="character" w:styleId="888" w:customStyle="1">
    <w:name w:val="WW8Num23z3"/>
    <w:qFormat/>
  </w:style>
  <w:style w:type="character" w:styleId="889" w:customStyle="1">
    <w:name w:val="WW8Num24z1"/>
    <w:qFormat/>
  </w:style>
  <w:style w:type="character" w:styleId="890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891" w:customStyle="1">
    <w:name w:val="WW8Num26z0"/>
    <w:qFormat/>
  </w:style>
  <w:style w:type="character" w:styleId="892" w:customStyle="1">
    <w:name w:val="WW8Num26z2"/>
    <w:qFormat/>
  </w:style>
  <w:style w:type="character" w:styleId="893" w:customStyle="1">
    <w:name w:val="WW8Num26z4"/>
    <w:qFormat/>
  </w:style>
  <w:style w:type="character" w:styleId="894" w:customStyle="1">
    <w:name w:val="WW8Num26z6"/>
    <w:qFormat/>
  </w:style>
  <w:style w:type="character" w:styleId="895" w:customStyle="1">
    <w:name w:val="WW8Num26z8"/>
    <w:qFormat/>
  </w:style>
  <w:style w:type="character" w:styleId="896" w:customStyle="1">
    <w:name w:val="WW8Num28z0"/>
    <w:qFormat/>
  </w:style>
  <w:style w:type="character" w:styleId="897" w:customStyle="1">
    <w:name w:val="WW8Num28z1"/>
    <w:qFormat/>
  </w:style>
  <w:style w:type="character" w:styleId="898" w:customStyle="1">
    <w:name w:val="WW8Num29z0"/>
    <w:qFormat/>
  </w:style>
  <w:style w:type="character" w:styleId="899" w:customStyle="1">
    <w:name w:val="WW8Num29z1"/>
    <w:qFormat/>
  </w:style>
  <w:style w:type="character" w:styleId="900" w:customStyle="1">
    <w:name w:val="WW8Num29z2"/>
    <w:qFormat/>
  </w:style>
  <w:style w:type="character" w:styleId="901" w:customStyle="1">
    <w:name w:val="WW8Num29z3"/>
    <w:qFormat/>
  </w:style>
  <w:style w:type="character" w:styleId="902" w:customStyle="1">
    <w:name w:val="WW8Num29z4"/>
    <w:qFormat/>
  </w:style>
  <w:style w:type="character" w:styleId="903" w:customStyle="1">
    <w:name w:val="WW8Num29z5"/>
    <w:qFormat/>
  </w:style>
  <w:style w:type="character" w:styleId="904" w:customStyle="1">
    <w:name w:val="WW8Num29z6"/>
    <w:qFormat/>
  </w:style>
  <w:style w:type="character" w:styleId="905" w:customStyle="1">
    <w:name w:val="WW8Num29z7"/>
    <w:qFormat/>
  </w:style>
  <w:style w:type="character" w:styleId="906" w:customStyle="1">
    <w:name w:val="WW8Num29z8"/>
    <w:qFormat/>
  </w:style>
  <w:style w:type="character" w:styleId="907" w:customStyle="1">
    <w:name w:val="WW8Num30z0"/>
    <w:qFormat/>
    <w:rPr>
      <w:rFonts w:ascii="Symbol" w:hAnsi="Symbol" w:cs="Symbol"/>
    </w:rPr>
  </w:style>
  <w:style w:type="character" w:styleId="908" w:customStyle="1">
    <w:name w:val="WW8Num30z1"/>
    <w:qFormat/>
    <w:rPr>
      <w:rFonts w:ascii="Courier New" w:hAnsi="Courier New" w:cs="Courier New"/>
    </w:rPr>
  </w:style>
  <w:style w:type="character" w:styleId="909" w:customStyle="1">
    <w:name w:val="WW8Num30z2"/>
    <w:qFormat/>
    <w:rPr>
      <w:rFonts w:ascii="Wingdings" w:hAnsi="Wingdings" w:cs="Wingdings"/>
    </w:rPr>
  </w:style>
  <w:style w:type="character" w:styleId="910" w:customStyle="1">
    <w:name w:val="WW8Num31z0"/>
    <w:qFormat/>
    <w:rPr>
      <w:rFonts w:cs="Times New Roman"/>
    </w:rPr>
  </w:style>
  <w:style w:type="character" w:styleId="911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912" w:customStyle="1">
    <w:name w:val="WW8Num32z1"/>
    <w:qFormat/>
  </w:style>
  <w:style w:type="character" w:styleId="913" w:customStyle="1">
    <w:name w:val="WW8Num33z0"/>
    <w:qFormat/>
  </w:style>
  <w:style w:type="character" w:styleId="914" w:customStyle="1">
    <w:name w:val="WW8Num33z1"/>
    <w:qFormat/>
  </w:style>
  <w:style w:type="character" w:styleId="915" w:customStyle="1">
    <w:name w:val="WW8Num33z2"/>
    <w:qFormat/>
  </w:style>
  <w:style w:type="character" w:styleId="916" w:customStyle="1">
    <w:name w:val="WW8Num33z3"/>
    <w:qFormat/>
  </w:style>
  <w:style w:type="character" w:styleId="917" w:customStyle="1">
    <w:name w:val="WW8Num33z4"/>
    <w:qFormat/>
  </w:style>
  <w:style w:type="character" w:styleId="918" w:customStyle="1">
    <w:name w:val="WW8Num33z5"/>
    <w:qFormat/>
  </w:style>
  <w:style w:type="character" w:styleId="919" w:customStyle="1">
    <w:name w:val="WW8Num33z6"/>
    <w:qFormat/>
  </w:style>
  <w:style w:type="character" w:styleId="920" w:customStyle="1">
    <w:name w:val="WW8Num33z7"/>
    <w:qFormat/>
  </w:style>
  <w:style w:type="character" w:styleId="921" w:customStyle="1">
    <w:name w:val="WW8Num33z8"/>
    <w:qFormat/>
  </w:style>
  <w:style w:type="character" w:styleId="922" w:customStyle="1">
    <w:name w:val="WW8Num34z0"/>
    <w:qFormat/>
  </w:style>
  <w:style w:type="character" w:styleId="923" w:customStyle="1">
    <w:name w:val="WW8Num34z1"/>
    <w:qFormat/>
  </w:style>
  <w:style w:type="character" w:styleId="924" w:customStyle="1">
    <w:name w:val="WW8Num34z2"/>
    <w:qFormat/>
  </w:style>
  <w:style w:type="character" w:styleId="925" w:customStyle="1">
    <w:name w:val="WW8Num34z3"/>
    <w:qFormat/>
  </w:style>
  <w:style w:type="character" w:styleId="926" w:customStyle="1">
    <w:name w:val="WW8Num34z4"/>
    <w:qFormat/>
  </w:style>
  <w:style w:type="character" w:styleId="927" w:customStyle="1">
    <w:name w:val="WW8Num34z5"/>
    <w:qFormat/>
  </w:style>
  <w:style w:type="character" w:styleId="928" w:customStyle="1">
    <w:name w:val="WW8Num34z6"/>
    <w:qFormat/>
  </w:style>
  <w:style w:type="character" w:styleId="929" w:customStyle="1">
    <w:name w:val="WW8Num34z7"/>
    <w:qFormat/>
  </w:style>
  <w:style w:type="character" w:styleId="930" w:customStyle="1">
    <w:name w:val="WW8Num34z8"/>
    <w:qFormat/>
  </w:style>
  <w:style w:type="character" w:styleId="931" w:customStyle="1">
    <w:name w:val="WW8Num35z0"/>
    <w:qFormat/>
    <w:rPr>
      <w:rFonts w:ascii="Times New Roman" w:hAnsi="Times New Roman" w:cs="Times New Roman"/>
    </w:rPr>
  </w:style>
  <w:style w:type="character" w:styleId="932" w:customStyle="1">
    <w:name w:val="WW8Num35z1"/>
    <w:qFormat/>
    <w:rPr>
      <w:rFonts w:ascii="Courier New" w:hAnsi="Courier New" w:cs="Courier New"/>
    </w:rPr>
  </w:style>
  <w:style w:type="character" w:styleId="933" w:customStyle="1">
    <w:name w:val="WW8Num35z2"/>
    <w:qFormat/>
    <w:rPr>
      <w:rFonts w:ascii="Wingdings" w:hAnsi="Wingdings" w:cs="Wingdings"/>
    </w:rPr>
  </w:style>
  <w:style w:type="character" w:styleId="934" w:customStyle="1">
    <w:name w:val="WW8Num35z3"/>
    <w:qFormat/>
    <w:rPr>
      <w:rFonts w:ascii="Symbol" w:hAnsi="Symbol" w:cs="Symbol"/>
    </w:rPr>
  </w:style>
  <w:style w:type="character" w:styleId="935" w:customStyle="1">
    <w:name w:val="WW8Num36z0"/>
    <w:qFormat/>
    <w:rPr>
      <w:rFonts w:ascii="Symbol" w:hAnsi="Symbol" w:cs="Symbol"/>
    </w:rPr>
  </w:style>
  <w:style w:type="character" w:styleId="936" w:customStyle="1">
    <w:name w:val="WW8Num36z1"/>
    <w:qFormat/>
    <w:rPr>
      <w:rFonts w:ascii="Courier New" w:hAnsi="Courier New" w:cs="Courier New"/>
    </w:rPr>
  </w:style>
  <w:style w:type="character" w:styleId="937" w:customStyle="1">
    <w:name w:val="WW8Num36z2"/>
    <w:qFormat/>
    <w:rPr>
      <w:rFonts w:ascii="Wingdings" w:hAnsi="Wingdings" w:cs="Wingdings"/>
    </w:rPr>
  </w:style>
  <w:style w:type="character" w:styleId="938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939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940" w:customStyle="1">
    <w:name w:val="WW8Num37z2"/>
    <w:qFormat/>
  </w:style>
  <w:style w:type="character" w:styleId="941" w:customStyle="1">
    <w:name w:val="WW8Num38z0"/>
    <w:qFormat/>
    <w:rPr>
      <w:rFonts w:ascii="Symbol" w:hAnsi="Symbol" w:cs="Symbol"/>
    </w:rPr>
  </w:style>
  <w:style w:type="character" w:styleId="942" w:customStyle="1">
    <w:name w:val="WW8Num38z1"/>
    <w:qFormat/>
    <w:rPr>
      <w:rFonts w:ascii="Courier New" w:hAnsi="Courier New" w:cs="Courier New"/>
    </w:rPr>
  </w:style>
  <w:style w:type="character" w:styleId="943" w:customStyle="1">
    <w:name w:val="WW8Num38z2"/>
    <w:qFormat/>
    <w:rPr>
      <w:rFonts w:ascii="Wingdings" w:hAnsi="Wingdings" w:cs="Wingdings"/>
    </w:rPr>
  </w:style>
  <w:style w:type="character" w:styleId="944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945" w:customStyle="1">
    <w:name w:val="WW8Num39z1"/>
    <w:qFormat/>
  </w:style>
  <w:style w:type="character" w:styleId="946" w:customStyle="1">
    <w:name w:val="WW8Num40z0"/>
    <w:qFormat/>
    <w:rPr>
      <w:rFonts w:ascii="Symbol" w:hAnsi="Symbol" w:cs="Symbol"/>
    </w:rPr>
  </w:style>
  <w:style w:type="character" w:styleId="947" w:customStyle="1">
    <w:name w:val="WW8Num40z1"/>
    <w:qFormat/>
    <w:rPr>
      <w:rFonts w:ascii="Courier New" w:hAnsi="Courier New" w:cs="Courier New"/>
    </w:rPr>
  </w:style>
  <w:style w:type="character" w:styleId="948" w:customStyle="1">
    <w:name w:val="WW8Num40z2"/>
    <w:qFormat/>
    <w:rPr>
      <w:rFonts w:ascii="Wingdings" w:hAnsi="Wingdings" w:cs="Wingdings"/>
    </w:rPr>
  </w:style>
  <w:style w:type="character" w:styleId="949" w:customStyle="1">
    <w:name w:val="WW8Num41z0"/>
    <w:qFormat/>
    <w:rPr>
      <w:rFonts w:ascii="Symbol" w:hAnsi="Symbol" w:cs="Symbol"/>
    </w:rPr>
  </w:style>
  <w:style w:type="character" w:styleId="950" w:customStyle="1">
    <w:name w:val="WW8Num41z1"/>
    <w:qFormat/>
    <w:rPr>
      <w:rFonts w:ascii="Courier New" w:hAnsi="Courier New" w:cs="Courier New"/>
    </w:rPr>
  </w:style>
  <w:style w:type="character" w:styleId="951" w:customStyle="1">
    <w:name w:val="WW8Num41z2"/>
    <w:qFormat/>
    <w:rPr>
      <w:rFonts w:ascii="Wingdings" w:hAnsi="Wingdings" w:cs="Wingdings"/>
    </w:rPr>
  </w:style>
  <w:style w:type="character" w:styleId="952" w:customStyle="1">
    <w:name w:val="WW8Num42z0"/>
    <w:qFormat/>
  </w:style>
  <w:style w:type="character" w:styleId="953" w:customStyle="1">
    <w:name w:val="WW8Num42z1"/>
    <w:qFormat/>
  </w:style>
  <w:style w:type="character" w:styleId="954" w:customStyle="1">
    <w:name w:val="WW8Num42z2"/>
    <w:qFormat/>
  </w:style>
  <w:style w:type="character" w:styleId="955" w:customStyle="1">
    <w:name w:val="WW8Num42z3"/>
    <w:qFormat/>
  </w:style>
  <w:style w:type="character" w:styleId="956" w:customStyle="1">
    <w:name w:val="WW8Num42z4"/>
    <w:qFormat/>
  </w:style>
  <w:style w:type="character" w:styleId="957" w:customStyle="1">
    <w:name w:val="WW8Num42z5"/>
    <w:qFormat/>
  </w:style>
  <w:style w:type="character" w:styleId="958" w:customStyle="1">
    <w:name w:val="WW8Num42z6"/>
    <w:qFormat/>
  </w:style>
  <w:style w:type="character" w:styleId="959" w:customStyle="1">
    <w:name w:val="WW8Num42z7"/>
    <w:qFormat/>
  </w:style>
  <w:style w:type="character" w:styleId="960" w:customStyle="1">
    <w:name w:val="WW8Num42z8"/>
    <w:qFormat/>
  </w:style>
  <w:style w:type="character" w:styleId="961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962" w:customStyle="1">
    <w:name w:val="WW8Num43z1"/>
    <w:qFormat/>
  </w:style>
  <w:style w:type="character" w:styleId="963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964" w:customStyle="1">
    <w:name w:val="WW8Num44z1"/>
    <w:qFormat/>
  </w:style>
  <w:style w:type="character" w:styleId="965" w:customStyle="1">
    <w:name w:val="WW8Num44z2"/>
    <w:qFormat/>
  </w:style>
  <w:style w:type="character" w:styleId="966" w:customStyle="1">
    <w:name w:val="WW8Num44z3"/>
    <w:qFormat/>
  </w:style>
  <w:style w:type="character" w:styleId="967" w:customStyle="1">
    <w:name w:val="WW8Num44z4"/>
    <w:qFormat/>
  </w:style>
  <w:style w:type="character" w:styleId="968" w:customStyle="1">
    <w:name w:val="WW8Num44z5"/>
    <w:qFormat/>
  </w:style>
  <w:style w:type="character" w:styleId="969" w:customStyle="1">
    <w:name w:val="WW8Num44z6"/>
    <w:qFormat/>
  </w:style>
  <w:style w:type="character" w:styleId="970" w:customStyle="1">
    <w:name w:val="WW8Num44z7"/>
    <w:qFormat/>
  </w:style>
  <w:style w:type="character" w:styleId="971" w:customStyle="1">
    <w:name w:val="WW8Num44z8"/>
    <w:qFormat/>
  </w:style>
  <w:style w:type="character" w:styleId="972" w:customStyle="1">
    <w:name w:val="WW8Num45z0"/>
    <w:qFormat/>
    <w:rPr>
      <w:rFonts w:ascii="Symbol" w:hAnsi="Symbol" w:cs="Symbol"/>
    </w:rPr>
  </w:style>
  <w:style w:type="character" w:styleId="973" w:customStyle="1">
    <w:name w:val="WW8Num45z1"/>
    <w:qFormat/>
    <w:rPr>
      <w:rFonts w:ascii="Courier New" w:hAnsi="Courier New" w:cs="Courier New"/>
    </w:rPr>
  </w:style>
  <w:style w:type="character" w:styleId="974" w:customStyle="1">
    <w:name w:val="WW8Num45z2"/>
    <w:qFormat/>
    <w:rPr>
      <w:rFonts w:ascii="Wingdings" w:hAnsi="Wingdings" w:cs="Wingdings"/>
    </w:rPr>
  </w:style>
  <w:style w:type="character" w:styleId="975" w:customStyle="1">
    <w:name w:val="WW8Num46z0"/>
    <w:qFormat/>
  </w:style>
  <w:style w:type="character" w:styleId="976" w:customStyle="1">
    <w:name w:val="WW8Num46z1"/>
    <w:qFormat/>
  </w:style>
  <w:style w:type="character" w:styleId="977" w:customStyle="1">
    <w:name w:val="WW8Num46z2"/>
    <w:qFormat/>
  </w:style>
  <w:style w:type="character" w:styleId="978" w:customStyle="1">
    <w:name w:val="WW8Num46z3"/>
    <w:qFormat/>
  </w:style>
  <w:style w:type="character" w:styleId="979" w:customStyle="1">
    <w:name w:val="WW8Num46z4"/>
    <w:qFormat/>
  </w:style>
  <w:style w:type="character" w:styleId="980" w:customStyle="1">
    <w:name w:val="WW8Num46z5"/>
    <w:qFormat/>
  </w:style>
  <w:style w:type="character" w:styleId="981" w:customStyle="1">
    <w:name w:val="WW8Num46z6"/>
    <w:qFormat/>
  </w:style>
  <w:style w:type="character" w:styleId="982" w:customStyle="1">
    <w:name w:val="WW8Num46z7"/>
    <w:qFormat/>
  </w:style>
  <w:style w:type="character" w:styleId="983" w:customStyle="1">
    <w:name w:val="WW8Num46z8"/>
    <w:qFormat/>
  </w:style>
  <w:style w:type="character" w:styleId="984" w:customStyle="1">
    <w:name w:val="WW8Num47z0"/>
    <w:qFormat/>
  </w:style>
  <w:style w:type="character" w:styleId="985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986" w:customStyle="1">
    <w:name w:val="WW8Num47z3"/>
    <w:qFormat/>
  </w:style>
  <w:style w:type="character" w:styleId="987" w:customStyle="1">
    <w:name w:val="WW8Num47z5"/>
    <w:qFormat/>
  </w:style>
  <w:style w:type="character" w:styleId="988" w:customStyle="1">
    <w:name w:val="WW8Num47z6"/>
    <w:qFormat/>
  </w:style>
  <w:style w:type="character" w:styleId="989" w:customStyle="1">
    <w:name w:val="WW8Num47z7"/>
    <w:qFormat/>
  </w:style>
  <w:style w:type="character" w:styleId="990" w:customStyle="1">
    <w:name w:val="WW8Num47z8"/>
    <w:qFormat/>
  </w:style>
  <w:style w:type="character" w:styleId="991" w:customStyle="1">
    <w:name w:val="Основной текст Знак"/>
    <w:qFormat/>
  </w:style>
  <w:style w:type="character" w:styleId="992" w:customStyle="1">
    <w:name w:val="Интернет-ссылка"/>
    <w:rPr>
      <w:rFonts w:cs="Times New Roman"/>
      <w:color w:val="0000ff"/>
      <w:u w:val="single"/>
    </w:rPr>
  </w:style>
  <w:style w:type="character" w:styleId="993" w:customStyle="1">
    <w:name w:val="Верхний колонтитул Знак"/>
    <w:qFormat/>
  </w:style>
  <w:style w:type="character" w:styleId="994" w:customStyle="1">
    <w:name w:val="Нижний колонтитул Знак"/>
    <w:qFormat/>
  </w:style>
  <w:style w:type="character" w:styleId="995" w:customStyle="1">
    <w:name w:val="Основной текст с отступом Знак"/>
    <w:qFormat/>
  </w:style>
  <w:style w:type="character" w:styleId="996">
    <w:name w:val="Emphasis"/>
    <w:qFormat/>
    <w:rPr>
      <w:i/>
      <w:iCs/>
    </w:rPr>
  </w:style>
  <w:style w:type="character" w:styleId="997" w:customStyle="1">
    <w:name w:val="Выделение жирным"/>
    <w:qFormat/>
    <w:rPr>
      <w:b/>
      <w:bCs/>
    </w:rPr>
  </w:style>
  <w:style w:type="character" w:styleId="998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999" w:customStyle="1">
    <w:name w:val="Нумерация строк"/>
  </w:style>
  <w:style w:type="character" w:styleId="1000">
    <w:name w:val="page number"/>
  </w:style>
  <w:style w:type="character" w:styleId="1001" w:customStyle="1">
    <w:name w:val="Посещённая гиперссылка"/>
    <w:rPr>
      <w:color w:val="800080"/>
      <w:u w:val="single"/>
    </w:rPr>
  </w:style>
  <w:style w:type="character" w:styleId="1002" w:customStyle="1">
    <w:name w:val="Ссылка указателя"/>
    <w:qFormat/>
  </w:style>
  <w:style w:type="character" w:styleId="1003" w:customStyle="1">
    <w:name w:val="Символ нумерации"/>
    <w:qFormat/>
  </w:style>
  <w:style w:type="character" w:styleId="1004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1005" w:customStyle="1">
    <w:name w:val="WW8Num83z0"/>
    <w:qFormat/>
  </w:style>
  <w:style w:type="character" w:styleId="1006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07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8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9" w:customStyle="1">
    <w:name w:val="WW8Num70z1"/>
    <w:qFormat/>
    <w:rPr>
      <w:rFonts w:ascii="Courier New" w:hAnsi="Courier New" w:eastAsia="Courier New" w:cs="Courier New"/>
    </w:rPr>
  </w:style>
  <w:style w:type="character" w:styleId="1010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1011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1012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3" w:customStyle="1">
    <w:name w:val="WW8Num64z1"/>
    <w:qFormat/>
    <w:rPr>
      <w:rFonts w:ascii="Courier New" w:hAnsi="Courier New" w:eastAsia="Courier New" w:cs="Courier New"/>
    </w:rPr>
  </w:style>
  <w:style w:type="character" w:styleId="1014" w:customStyle="1">
    <w:name w:val="основной"/>
    <w:qFormat/>
  </w:style>
  <w:style w:type="character" w:styleId="1015" w:customStyle="1">
    <w:name w:val="WW8Num61z1"/>
    <w:qFormat/>
    <w:rPr>
      <w:rFonts w:ascii="Courier New" w:hAnsi="Courier New" w:eastAsia="Courier New" w:cs="Courier New"/>
    </w:rPr>
  </w:style>
  <w:style w:type="character" w:styleId="1016" w:customStyle="1">
    <w:name w:val="Список1"/>
    <w:qFormat/>
  </w:style>
  <w:style w:type="character" w:styleId="1017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8" w:customStyle="1">
    <w:name w:val="WW8Num72z1"/>
    <w:qFormat/>
    <w:rPr>
      <w:rFonts w:ascii="Courier New" w:hAnsi="Courier New" w:eastAsia="Courier New" w:cs="Courier New"/>
    </w:rPr>
  </w:style>
  <w:style w:type="character" w:styleId="1019" w:customStyle="1">
    <w:name w:val="WW8Num66z1"/>
    <w:qFormat/>
    <w:rPr>
      <w:rFonts w:ascii="Courier New" w:hAnsi="Courier New" w:eastAsia="Courier New" w:cs="Courier New"/>
    </w:rPr>
  </w:style>
  <w:style w:type="character" w:styleId="1020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21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1022" w:customStyle="1">
    <w:name w:val="Содержимое врезки"/>
    <w:qFormat/>
  </w:style>
  <w:style w:type="character" w:styleId="1023" w:customStyle="1">
    <w:name w:val="WW8Num67z1"/>
    <w:qFormat/>
    <w:rPr>
      <w:rFonts w:ascii="Courier New" w:hAnsi="Courier New" w:eastAsia="Courier New" w:cs="Courier New"/>
    </w:rPr>
  </w:style>
  <w:style w:type="character" w:styleId="1024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1025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26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1027" w:customStyle="1">
    <w:name w:val="Маркеры"/>
    <w:qFormat/>
    <w:rPr>
      <w:rFonts w:ascii="OpenSymbol" w:hAnsi="OpenSymbol" w:eastAsia="OpenSymbol" w:cs="OpenSymbol"/>
    </w:rPr>
  </w:style>
  <w:style w:type="character" w:styleId="1028" w:customStyle="1">
    <w:name w:val="WW8Num16z6"/>
    <w:qFormat/>
  </w:style>
  <w:style w:type="character" w:styleId="1029" w:customStyle="1">
    <w:name w:val="WW8Num23z4"/>
    <w:qFormat/>
  </w:style>
  <w:style w:type="character" w:styleId="1030" w:customStyle="1">
    <w:name w:val="WW8Num23z5"/>
    <w:qFormat/>
  </w:style>
  <w:style w:type="character" w:styleId="1031" w:customStyle="1">
    <w:name w:val="WW8Num23z6"/>
    <w:qFormat/>
  </w:style>
  <w:style w:type="character" w:styleId="1032" w:customStyle="1">
    <w:name w:val="WW8Num23z7"/>
    <w:qFormat/>
  </w:style>
  <w:style w:type="character" w:styleId="1033" w:customStyle="1">
    <w:name w:val="WW8Num23z8"/>
    <w:qFormat/>
  </w:style>
  <w:style w:type="character" w:styleId="1034" w:customStyle="1">
    <w:name w:val="WW8Num24z4"/>
    <w:qFormat/>
  </w:style>
  <w:style w:type="character" w:styleId="1035" w:customStyle="1">
    <w:name w:val="WW8Num24z6"/>
    <w:qFormat/>
  </w:style>
  <w:style w:type="character" w:styleId="1036" w:customStyle="1">
    <w:name w:val="WW8Num25z7"/>
    <w:qFormat/>
  </w:style>
  <w:style w:type="character" w:styleId="1037" w:customStyle="1">
    <w:name w:val="WW8Num31z1"/>
    <w:qFormat/>
    <w:rPr>
      <w:rFonts w:ascii="Courier New" w:hAnsi="Courier New" w:eastAsia="Courier New" w:cs="Courier New"/>
    </w:rPr>
  </w:style>
  <w:style w:type="character" w:styleId="1038" w:customStyle="1">
    <w:name w:val="WW8Num37z3"/>
    <w:qFormat/>
  </w:style>
  <w:style w:type="character" w:styleId="1039" w:customStyle="1">
    <w:name w:val="WW8Num37z4"/>
    <w:qFormat/>
  </w:style>
  <w:style w:type="character" w:styleId="1040" w:customStyle="1">
    <w:name w:val="WW8Num37z5"/>
    <w:qFormat/>
  </w:style>
  <w:style w:type="character" w:styleId="1041" w:customStyle="1">
    <w:name w:val="WW8Num37z6"/>
    <w:qFormat/>
  </w:style>
  <w:style w:type="character" w:styleId="1042" w:customStyle="1">
    <w:name w:val="WW8Num37z7"/>
    <w:qFormat/>
  </w:style>
  <w:style w:type="character" w:styleId="1043" w:customStyle="1">
    <w:name w:val="WW8Num37z8"/>
    <w:qFormat/>
  </w:style>
  <w:style w:type="character" w:styleId="1044" w:customStyle="1">
    <w:name w:val="WW8Num38z3"/>
    <w:qFormat/>
  </w:style>
  <w:style w:type="character" w:styleId="1045" w:customStyle="1">
    <w:name w:val="WW8Num38z4"/>
    <w:qFormat/>
  </w:style>
  <w:style w:type="character" w:styleId="1046" w:customStyle="1">
    <w:name w:val="WW8Num38z5"/>
    <w:qFormat/>
  </w:style>
  <w:style w:type="character" w:styleId="1047" w:customStyle="1">
    <w:name w:val="WW8Num38z6"/>
    <w:qFormat/>
  </w:style>
  <w:style w:type="character" w:styleId="1048" w:customStyle="1">
    <w:name w:val="WW8Num38z7"/>
    <w:qFormat/>
  </w:style>
  <w:style w:type="character" w:styleId="1049" w:customStyle="1">
    <w:name w:val="WW8Num38z8"/>
    <w:qFormat/>
  </w:style>
  <w:style w:type="character" w:styleId="1050" w:customStyle="1">
    <w:name w:val="WW8Num39z2"/>
    <w:qFormat/>
  </w:style>
  <w:style w:type="character" w:styleId="1051" w:customStyle="1">
    <w:name w:val="WW8Num39z3"/>
    <w:qFormat/>
  </w:style>
  <w:style w:type="character" w:styleId="1052" w:customStyle="1">
    <w:name w:val="WW8Num39z4"/>
    <w:qFormat/>
  </w:style>
  <w:style w:type="character" w:styleId="1053" w:customStyle="1">
    <w:name w:val="WW8Num39z5"/>
    <w:qFormat/>
  </w:style>
  <w:style w:type="character" w:styleId="1054" w:customStyle="1">
    <w:name w:val="WW8Num39z6"/>
    <w:qFormat/>
  </w:style>
  <w:style w:type="character" w:styleId="1055" w:customStyle="1">
    <w:name w:val="WW8Num39z7"/>
    <w:qFormat/>
  </w:style>
  <w:style w:type="character" w:styleId="1056" w:customStyle="1">
    <w:name w:val="WW8Num39z8"/>
    <w:qFormat/>
  </w:style>
  <w:style w:type="character" w:styleId="1057" w:customStyle="1">
    <w:name w:val="WW8Num40z3"/>
    <w:qFormat/>
  </w:style>
  <w:style w:type="character" w:styleId="1058" w:customStyle="1">
    <w:name w:val="WW8Num40z4"/>
    <w:qFormat/>
  </w:style>
  <w:style w:type="character" w:styleId="1059" w:customStyle="1">
    <w:name w:val="WW8Num40z5"/>
    <w:qFormat/>
  </w:style>
  <w:style w:type="character" w:styleId="1060" w:customStyle="1">
    <w:name w:val="WW8Num40z6"/>
    <w:qFormat/>
  </w:style>
  <w:style w:type="character" w:styleId="1061" w:customStyle="1">
    <w:name w:val="WW8Num40z7"/>
    <w:qFormat/>
  </w:style>
  <w:style w:type="character" w:styleId="1062" w:customStyle="1">
    <w:name w:val="WW8Num40z8"/>
    <w:qFormat/>
  </w:style>
  <w:style w:type="character" w:styleId="1063" w:customStyle="1">
    <w:name w:val="WW8Num41z3"/>
    <w:qFormat/>
  </w:style>
  <w:style w:type="character" w:styleId="1064" w:customStyle="1">
    <w:name w:val="WW8Num41z4"/>
    <w:qFormat/>
  </w:style>
  <w:style w:type="character" w:styleId="1065" w:customStyle="1">
    <w:name w:val="WW8Num41z5"/>
    <w:qFormat/>
  </w:style>
  <w:style w:type="character" w:styleId="1066" w:customStyle="1">
    <w:name w:val="WW8Num41z6"/>
    <w:qFormat/>
  </w:style>
  <w:style w:type="character" w:styleId="1067" w:customStyle="1">
    <w:name w:val="WW8Num41z7"/>
    <w:qFormat/>
  </w:style>
  <w:style w:type="character" w:styleId="1068" w:customStyle="1">
    <w:name w:val="WW8Num41z8"/>
    <w:qFormat/>
  </w:style>
  <w:style w:type="character" w:styleId="1069" w:customStyle="1">
    <w:name w:val="WW8Num36z4"/>
    <w:qFormat/>
  </w:style>
  <w:style w:type="character" w:styleId="1070" w:customStyle="1">
    <w:name w:val="WW8Num36z5"/>
    <w:qFormat/>
  </w:style>
  <w:style w:type="character" w:styleId="1071" w:customStyle="1">
    <w:name w:val="WW8Num36z6"/>
    <w:qFormat/>
  </w:style>
  <w:style w:type="character" w:styleId="1072" w:customStyle="1">
    <w:name w:val="WW8Num36z7"/>
    <w:qFormat/>
  </w:style>
  <w:style w:type="character" w:styleId="1073" w:customStyle="1">
    <w:name w:val="WW8Num36z8"/>
    <w:qFormat/>
  </w:style>
  <w:style w:type="character" w:styleId="1074" w:customStyle="1">
    <w:name w:val="WW8Num31z3"/>
    <w:qFormat/>
  </w:style>
  <w:style w:type="character" w:styleId="1075" w:customStyle="1">
    <w:name w:val="WW8Num31z4"/>
    <w:qFormat/>
  </w:style>
  <w:style w:type="character" w:styleId="1076" w:customStyle="1">
    <w:name w:val="WW8Num31z5"/>
    <w:qFormat/>
  </w:style>
  <w:style w:type="character" w:styleId="1077" w:customStyle="1">
    <w:name w:val="WW8Num31z6"/>
    <w:qFormat/>
  </w:style>
  <w:style w:type="character" w:styleId="1078" w:customStyle="1">
    <w:name w:val="WW8Num31z7"/>
    <w:qFormat/>
  </w:style>
  <w:style w:type="character" w:styleId="1079" w:customStyle="1">
    <w:name w:val="WW8Num31z8"/>
    <w:qFormat/>
  </w:style>
  <w:style w:type="character" w:styleId="1080" w:customStyle="1">
    <w:name w:val="WW-ConsCell"/>
    <w:qFormat/>
    <w:rPr>
      <w:rFonts w:ascii="Arial" w:hAnsi="Arial" w:eastAsia="Arial" w:cs="Arial"/>
    </w:rPr>
  </w:style>
  <w:style w:type="character" w:styleId="1081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1082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1083" w:customStyle="1">
    <w:name w:val="Список Знак"/>
    <w:qFormat/>
    <w:rPr>
      <w:sz w:val="22"/>
    </w:rPr>
  </w:style>
  <w:style w:type="character" w:styleId="1084" w:customStyle="1">
    <w:name w:val="WW-nienie"/>
    <w:qFormat/>
    <w:rPr>
      <w:rFonts w:ascii="Peterburg" w:hAnsi="Peterburg" w:eastAsia="Peterburg" w:cs="Peterburg"/>
      <w:sz w:val="24"/>
    </w:rPr>
  </w:style>
  <w:style w:type="character" w:styleId="1085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1086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1087" w:customStyle="1">
    <w:name w:val="WW-ConsPlusNormal1"/>
    <w:qFormat/>
    <w:rPr>
      <w:rFonts w:ascii="Arial" w:hAnsi="Arial" w:eastAsia="Arial" w:cs="Arial"/>
      <w:sz w:val="22"/>
    </w:rPr>
  </w:style>
  <w:style w:type="character" w:styleId="1088" w:customStyle="1">
    <w:name w:val="WW-ОСНОВНОЙ !!!"/>
    <w:qFormat/>
    <w:rPr>
      <w:rFonts w:ascii="Arial" w:hAnsi="Arial" w:eastAsia="Arial" w:cs="Arial"/>
      <w:sz w:val="20"/>
    </w:rPr>
  </w:style>
  <w:style w:type="character" w:styleId="1089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1090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091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1092" w:customStyle="1">
    <w:name w:val="WW-apple-converted-space"/>
    <w:qFormat/>
    <w:rPr>
      <w:sz w:val="22"/>
    </w:rPr>
  </w:style>
  <w:style w:type="character" w:styleId="1093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1094" w:customStyle="1">
    <w:name w:val="WW-ConsNormal"/>
    <w:qFormat/>
    <w:rPr>
      <w:rFonts w:ascii="Arial" w:hAnsi="Arial" w:eastAsia="Arial" w:cs="Arial"/>
      <w:sz w:val="22"/>
    </w:rPr>
  </w:style>
  <w:style w:type="character" w:styleId="1095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1096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1097" w:customStyle="1">
    <w:name w:val="WW-comment"/>
    <w:qFormat/>
    <w:rPr>
      <w:sz w:val="22"/>
    </w:rPr>
  </w:style>
  <w:style w:type="character" w:styleId="1098" w:customStyle="1">
    <w:name w:val="WW-western"/>
    <w:qFormat/>
    <w:rPr>
      <w:rFonts w:ascii="Tahoma" w:hAnsi="Tahoma" w:eastAsia="Tahoma" w:cs="Tahoma"/>
      <w:sz w:val="18"/>
    </w:rPr>
  </w:style>
  <w:style w:type="character" w:styleId="1099" w:customStyle="1">
    <w:name w:val="WW-ConsPlusNormal"/>
    <w:qFormat/>
    <w:rPr>
      <w:rFonts w:ascii="Arial" w:hAnsi="Arial" w:eastAsia="Arial" w:cs="Arial"/>
      <w:sz w:val="22"/>
    </w:rPr>
  </w:style>
  <w:style w:type="character" w:styleId="1100" w:customStyle="1">
    <w:name w:val="WW-toc 10"/>
    <w:qFormat/>
    <w:rPr>
      <w:sz w:val="22"/>
    </w:rPr>
  </w:style>
  <w:style w:type="character" w:styleId="1101" w:customStyle="1">
    <w:name w:val="WW-Без интервала11"/>
    <w:qFormat/>
    <w:rPr>
      <w:sz w:val="22"/>
    </w:rPr>
  </w:style>
  <w:style w:type="character" w:styleId="1102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1103" w:customStyle="1">
    <w:name w:val="WW-ConsPlusTitle"/>
    <w:qFormat/>
    <w:rPr>
      <w:rFonts w:ascii="Arial" w:hAnsi="Arial" w:eastAsia="Arial" w:cs="Arial"/>
      <w:b/>
      <w:sz w:val="22"/>
    </w:rPr>
  </w:style>
  <w:style w:type="character" w:styleId="1104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1105" w:customStyle="1">
    <w:name w:val="WW-match"/>
    <w:qFormat/>
    <w:rPr>
      <w:sz w:val="22"/>
    </w:rPr>
  </w:style>
  <w:style w:type="character" w:styleId="1106" w:customStyle="1">
    <w:name w:val="WW8Num60z4"/>
    <w:qFormat/>
    <w:rPr>
      <w:rFonts w:ascii="Courier New" w:hAnsi="Courier New" w:eastAsia="Courier New" w:cs="Courier New"/>
    </w:rPr>
  </w:style>
  <w:style w:type="character" w:styleId="1107" w:customStyle="1">
    <w:name w:val="WW8Num57z1"/>
    <w:qFormat/>
    <w:rPr>
      <w:rFonts w:ascii="Courier New" w:hAnsi="Courier New" w:eastAsia="Courier New" w:cs="Courier New"/>
    </w:rPr>
  </w:style>
  <w:style w:type="character" w:styleId="1108" w:customStyle="1">
    <w:name w:val="WW8Num55z1"/>
    <w:qFormat/>
    <w:rPr>
      <w:rFonts w:ascii="Courier New" w:hAnsi="Courier New" w:eastAsia="Courier New" w:cs="Courier New"/>
    </w:rPr>
  </w:style>
  <w:style w:type="character" w:styleId="1109" w:customStyle="1">
    <w:name w:val="WW8Num53z1"/>
    <w:qFormat/>
    <w:rPr>
      <w:rFonts w:ascii="Courier New" w:hAnsi="Courier New" w:eastAsia="Courier New" w:cs="Courier New"/>
    </w:rPr>
  </w:style>
  <w:style w:type="character" w:styleId="1110" w:customStyle="1">
    <w:name w:val="WW8Num51z1"/>
    <w:qFormat/>
    <w:rPr>
      <w:rFonts w:ascii="Courier New" w:hAnsi="Courier New" w:eastAsia="Courier New" w:cs="Courier New"/>
    </w:rPr>
  </w:style>
  <w:style w:type="character" w:styleId="1111" w:customStyle="1">
    <w:name w:val="WW8Num48z1"/>
    <w:qFormat/>
    <w:rPr>
      <w:rFonts w:ascii="Courier New" w:hAnsi="Courier New" w:eastAsia="Courier New" w:cs="Courier New"/>
    </w:rPr>
  </w:style>
  <w:style w:type="character" w:styleId="1112" w:customStyle="1">
    <w:name w:val="WW8Num36z3"/>
    <w:qFormat/>
  </w:style>
  <w:style w:type="character" w:styleId="1113" w:customStyle="1">
    <w:name w:val="WW8Num32z4"/>
    <w:qFormat/>
    <w:rPr>
      <w:rFonts w:ascii="Courier New" w:hAnsi="Courier New" w:eastAsia="Courier New" w:cs="Courier New"/>
    </w:rPr>
  </w:style>
  <w:style w:type="character" w:styleId="1114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115" w:customStyle="1">
    <w:name w:val="WW8Num83z1"/>
    <w:qFormat/>
    <w:rPr>
      <w:rFonts w:ascii="Courier New" w:hAnsi="Courier New" w:eastAsia="Courier New" w:cs="Courier New"/>
    </w:rPr>
  </w:style>
  <w:style w:type="character" w:styleId="1116" w:customStyle="1">
    <w:name w:val="WW8Num85z1"/>
    <w:qFormat/>
    <w:rPr>
      <w:rFonts w:ascii="Courier New" w:hAnsi="Courier New" w:eastAsia="Courier New" w:cs="Courier New"/>
    </w:rPr>
  </w:style>
  <w:style w:type="character" w:styleId="1117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1118" w:customStyle="1">
    <w:name w:val="WW8Num84z8"/>
    <w:qFormat/>
  </w:style>
  <w:style w:type="character" w:styleId="1119" w:customStyle="1">
    <w:name w:val="WW8Num84z7"/>
    <w:qFormat/>
  </w:style>
  <w:style w:type="character" w:styleId="1120" w:customStyle="1">
    <w:name w:val="WW8Num84z6"/>
    <w:qFormat/>
  </w:style>
  <w:style w:type="character" w:styleId="1121" w:customStyle="1">
    <w:name w:val="WW8Num84z5"/>
    <w:qFormat/>
  </w:style>
  <w:style w:type="character" w:styleId="1122" w:customStyle="1">
    <w:name w:val="WW8Num84z4"/>
    <w:qFormat/>
  </w:style>
  <w:style w:type="character" w:styleId="1123" w:customStyle="1">
    <w:name w:val="WW8Num84z3"/>
    <w:qFormat/>
  </w:style>
  <w:style w:type="character" w:styleId="1124" w:customStyle="1">
    <w:name w:val="WW8Num84z2"/>
    <w:qFormat/>
  </w:style>
  <w:style w:type="character" w:styleId="1125" w:customStyle="1">
    <w:name w:val="WW8Num84z1"/>
    <w:qFormat/>
  </w:style>
  <w:style w:type="character" w:styleId="1126" w:customStyle="1">
    <w:name w:val="WW8Num84z0"/>
    <w:qFormat/>
  </w:style>
  <w:style w:type="character" w:styleId="1127" w:customStyle="1">
    <w:name w:val="WW8Num81z8"/>
    <w:qFormat/>
  </w:style>
  <w:style w:type="character" w:styleId="1128" w:customStyle="1">
    <w:name w:val="WW8Num81z7"/>
    <w:qFormat/>
  </w:style>
  <w:style w:type="character" w:styleId="1129" w:customStyle="1">
    <w:name w:val="WW8Num81z6"/>
    <w:qFormat/>
  </w:style>
  <w:style w:type="character" w:styleId="1130" w:customStyle="1">
    <w:name w:val="WW8Num81z5"/>
    <w:qFormat/>
  </w:style>
  <w:style w:type="character" w:styleId="1131" w:customStyle="1">
    <w:name w:val="WW8Num81z4"/>
    <w:qFormat/>
  </w:style>
  <w:style w:type="character" w:styleId="1132" w:customStyle="1">
    <w:name w:val="WW8Num81z3"/>
    <w:qFormat/>
  </w:style>
  <w:style w:type="character" w:styleId="1133" w:customStyle="1">
    <w:name w:val="WW8Num81z2"/>
    <w:qFormat/>
  </w:style>
  <w:style w:type="character" w:styleId="1134" w:customStyle="1">
    <w:name w:val="WW8Num81z1"/>
    <w:qFormat/>
  </w:style>
  <w:style w:type="character" w:styleId="1135" w:customStyle="1">
    <w:name w:val="WW8Num81z0"/>
    <w:qFormat/>
  </w:style>
  <w:style w:type="character" w:styleId="1136" w:customStyle="1">
    <w:name w:val="WW8Num80z0"/>
    <w:qFormat/>
  </w:style>
  <w:style w:type="character" w:styleId="1137" w:customStyle="1">
    <w:name w:val="WW8Num79z1"/>
    <w:qFormat/>
    <w:rPr>
      <w:rFonts w:ascii="Courier New" w:hAnsi="Courier New" w:eastAsia="Courier New" w:cs="Courier New"/>
    </w:rPr>
  </w:style>
  <w:style w:type="character" w:styleId="1138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139" w:customStyle="1">
    <w:name w:val="WW8Num78z1"/>
    <w:qFormat/>
    <w:rPr>
      <w:rFonts w:ascii="Courier New" w:hAnsi="Courier New" w:eastAsia="Courier New" w:cs="Courier New"/>
    </w:rPr>
  </w:style>
  <w:style w:type="character" w:styleId="1140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141" w:customStyle="1">
    <w:name w:val="WW8Num77z8"/>
    <w:qFormat/>
  </w:style>
  <w:style w:type="character" w:styleId="1142" w:customStyle="1">
    <w:name w:val="WW8Num77z7"/>
    <w:qFormat/>
  </w:style>
  <w:style w:type="character" w:styleId="1143" w:customStyle="1">
    <w:name w:val="WW8Num77z6"/>
    <w:qFormat/>
  </w:style>
  <w:style w:type="character" w:styleId="1144" w:customStyle="1">
    <w:name w:val="WW8Num77z5"/>
    <w:qFormat/>
  </w:style>
  <w:style w:type="character" w:styleId="1145" w:customStyle="1">
    <w:name w:val="WW8Num77z4"/>
    <w:qFormat/>
  </w:style>
  <w:style w:type="character" w:styleId="1146" w:customStyle="1">
    <w:name w:val="WW8Num77z3"/>
    <w:qFormat/>
  </w:style>
  <w:style w:type="character" w:styleId="1147" w:customStyle="1">
    <w:name w:val="WW8Num77z2"/>
    <w:qFormat/>
  </w:style>
  <w:style w:type="character" w:styleId="1148" w:customStyle="1">
    <w:name w:val="WW8Num77z1"/>
    <w:qFormat/>
  </w:style>
  <w:style w:type="character" w:styleId="1149" w:customStyle="1">
    <w:name w:val="WW8Num77z0"/>
    <w:qFormat/>
  </w:style>
  <w:style w:type="character" w:styleId="1150" w:customStyle="1">
    <w:name w:val="WW8Num76z1"/>
    <w:qFormat/>
    <w:rPr>
      <w:rFonts w:ascii="Courier New" w:hAnsi="Courier New" w:eastAsia="Courier New" w:cs="Courier New"/>
    </w:rPr>
  </w:style>
  <w:style w:type="character" w:styleId="1151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152" w:customStyle="1">
    <w:name w:val="WW8Num75z1"/>
    <w:qFormat/>
    <w:rPr>
      <w:rFonts w:ascii="Courier New" w:hAnsi="Courier New" w:eastAsia="Courier New" w:cs="Courier New"/>
    </w:rPr>
  </w:style>
  <w:style w:type="character" w:styleId="1153" w:customStyle="1">
    <w:name w:val="WW8Num74z8"/>
    <w:qFormat/>
  </w:style>
  <w:style w:type="character" w:styleId="1154" w:customStyle="1">
    <w:name w:val="WW8Num74z7"/>
    <w:qFormat/>
  </w:style>
  <w:style w:type="character" w:styleId="1155" w:customStyle="1">
    <w:name w:val="WW8Num74z6"/>
    <w:qFormat/>
  </w:style>
  <w:style w:type="character" w:styleId="1156" w:customStyle="1">
    <w:name w:val="WW8Num74z5"/>
    <w:qFormat/>
  </w:style>
  <w:style w:type="character" w:styleId="1157" w:customStyle="1">
    <w:name w:val="WW8Num74z4"/>
    <w:qFormat/>
  </w:style>
  <w:style w:type="character" w:styleId="1158" w:customStyle="1">
    <w:name w:val="WW8Num74z3"/>
    <w:qFormat/>
  </w:style>
  <w:style w:type="character" w:styleId="1159" w:customStyle="1">
    <w:name w:val="WW8Num74z2"/>
    <w:qFormat/>
  </w:style>
  <w:style w:type="character" w:styleId="1160" w:customStyle="1">
    <w:name w:val="WW8Num74z1"/>
    <w:qFormat/>
  </w:style>
  <w:style w:type="character" w:styleId="1161" w:customStyle="1">
    <w:name w:val="WW8Num74z0"/>
    <w:qFormat/>
  </w:style>
  <w:style w:type="character" w:styleId="1162" w:customStyle="1">
    <w:name w:val="WW8Num71z1"/>
    <w:qFormat/>
    <w:rPr>
      <w:rFonts w:ascii="Courier New" w:hAnsi="Courier New" w:eastAsia="Courier New" w:cs="Courier New"/>
    </w:rPr>
  </w:style>
  <w:style w:type="character" w:styleId="1163" w:customStyle="1">
    <w:name w:val="WW8Num69z8"/>
    <w:qFormat/>
  </w:style>
  <w:style w:type="character" w:styleId="1164" w:customStyle="1">
    <w:name w:val="WW8Num69z7"/>
    <w:qFormat/>
  </w:style>
  <w:style w:type="character" w:styleId="1165" w:customStyle="1">
    <w:name w:val="WW8Num69z6"/>
    <w:qFormat/>
  </w:style>
  <w:style w:type="character" w:styleId="1166" w:customStyle="1">
    <w:name w:val="WW8Num69z5"/>
    <w:qFormat/>
  </w:style>
  <w:style w:type="character" w:styleId="1167" w:customStyle="1">
    <w:name w:val="WW8Num69z4"/>
    <w:qFormat/>
  </w:style>
  <w:style w:type="character" w:styleId="1168" w:customStyle="1">
    <w:name w:val="WW8Num69z3"/>
    <w:qFormat/>
  </w:style>
  <w:style w:type="character" w:styleId="1169" w:customStyle="1">
    <w:name w:val="WW8Num69z2"/>
    <w:qFormat/>
  </w:style>
  <w:style w:type="character" w:styleId="1170" w:customStyle="1">
    <w:name w:val="WW8Num69z0"/>
    <w:qFormat/>
  </w:style>
  <w:style w:type="character" w:styleId="1171" w:customStyle="1">
    <w:name w:val="WW8Num68z1"/>
    <w:qFormat/>
    <w:rPr>
      <w:rFonts w:ascii="Courier New" w:hAnsi="Courier New" w:eastAsia="Courier New" w:cs="Courier New"/>
    </w:rPr>
  </w:style>
  <w:style w:type="character" w:styleId="1172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173" w:customStyle="1">
    <w:name w:val="WW8Num65z1"/>
    <w:qFormat/>
    <w:rPr>
      <w:rFonts w:ascii="Courier New" w:hAnsi="Courier New" w:eastAsia="Courier New" w:cs="Courier New"/>
    </w:rPr>
  </w:style>
  <w:style w:type="character" w:styleId="1174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175" w:customStyle="1">
    <w:name w:val="WW8Num63z4"/>
    <w:qFormat/>
    <w:rPr>
      <w:rFonts w:eastAsia="Times New Roman"/>
    </w:rPr>
  </w:style>
  <w:style w:type="character" w:styleId="1176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77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178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179" w:customStyle="1">
    <w:name w:val="WW8Num62z8"/>
    <w:qFormat/>
  </w:style>
  <w:style w:type="character" w:styleId="1180" w:customStyle="1">
    <w:name w:val="WW8Num62z7"/>
    <w:qFormat/>
  </w:style>
  <w:style w:type="character" w:styleId="1181" w:customStyle="1">
    <w:name w:val="WW8Num62z6"/>
    <w:qFormat/>
  </w:style>
  <w:style w:type="character" w:styleId="1182" w:customStyle="1">
    <w:name w:val="WW8Num62z5"/>
    <w:qFormat/>
  </w:style>
  <w:style w:type="character" w:styleId="1183" w:customStyle="1">
    <w:name w:val="WW8Num62z4"/>
    <w:qFormat/>
  </w:style>
  <w:style w:type="character" w:styleId="1184" w:customStyle="1">
    <w:name w:val="WW8Num62z3"/>
    <w:qFormat/>
  </w:style>
  <w:style w:type="character" w:styleId="1185" w:customStyle="1">
    <w:name w:val="WW8Num62z2"/>
    <w:qFormat/>
  </w:style>
  <w:style w:type="character" w:styleId="1186" w:customStyle="1">
    <w:name w:val="WW8Num62z1"/>
    <w:qFormat/>
  </w:style>
  <w:style w:type="character" w:styleId="1187" w:customStyle="1">
    <w:name w:val="WW8Num62z0"/>
    <w:qFormat/>
  </w:style>
  <w:style w:type="character" w:styleId="1188" w:customStyle="1">
    <w:name w:val="WW8Num60z1"/>
    <w:qFormat/>
    <w:rPr>
      <w:rFonts w:ascii="Courier New" w:hAnsi="Courier New" w:eastAsia="Courier New" w:cs="Courier New"/>
    </w:rPr>
  </w:style>
  <w:style w:type="character" w:styleId="1189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190" w:customStyle="1">
    <w:name w:val="WW8Num59z8"/>
    <w:qFormat/>
  </w:style>
  <w:style w:type="character" w:styleId="1191" w:customStyle="1">
    <w:name w:val="WW8Num59z7"/>
    <w:qFormat/>
  </w:style>
  <w:style w:type="character" w:styleId="1192" w:customStyle="1">
    <w:name w:val="WW8Num59z6"/>
    <w:qFormat/>
  </w:style>
  <w:style w:type="character" w:styleId="1193" w:customStyle="1">
    <w:name w:val="WW8Num59z5"/>
    <w:qFormat/>
  </w:style>
  <w:style w:type="character" w:styleId="1194" w:customStyle="1">
    <w:name w:val="WW8Num59z4"/>
    <w:qFormat/>
  </w:style>
  <w:style w:type="character" w:styleId="1195" w:customStyle="1">
    <w:name w:val="WW8Num59z3"/>
    <w:qFormat/>
  </w:style>
  <w:style w:type="character" w:styleId="1196" w:customStyle="1">
    <w:name w:val="WW8Num59z2"/>
    <w:qFormat/>
  </w:style>
  <w:style w:type="character" w:styleId="1197" w:customStyle="1">
    <w:name w:val="WW8Num59z1"/>
    <w:qFormat/>
  </w:style>
  <w:style w:type="character" w:styleId="1198" w:customStyle="1">
    <w:name w:val="WW8Num59z0"/>
    <w:qFormat/>
  </w:style>
  <w:style w:type="character" w:styleId="1199" w:customStyle="1">
    <w:name w:val="WW8Num58z8"/>
    <w:qFormat/>
  </w:style>
  <w:style w:type="character" w:styleId="1200" w:customStyle="1">
    <w:name w:val="WW8Num58z7"/>
    <w:qFormat/>
  </w:style>
  <w:style w:type="character" w:styleId="1201" w:customStyle="1">
    <w:name w:val="WW8Num58z6"/>
    <w:qFormat/>
  </w:style>
  <w:style w:type="character" w:styleId="1202" w:customStyle="1">
    <w:name w:val="WW8Num58z5"/>
    <w:qFormat/>
  </w:style>
  <w:style w:type="character" w:styleId="1203" w:customStyle="1">
    <w:name w:val="WW8Num58z4"/>
    <w:qFormat/>
  </w:style>
  <w:style w:type="character" w:styleId="1204" w:customStyle="1">
    <w:name w:val="WW8Num58z3"/>
    <w:qFormat/>
  </w:style>
  <w:style w:type="character" w:styleId="1205" w:customStyle="1">
    <w:name w:val="WW8Num58z2"/>
    <w:qFormat/>
  </w:style>
  <w:style w:type="character" w:styleId="1206" w:customStyle="1">
    <w:name w:val="WW8Num58z1"/>
    <w:qFormat/>
  </w:style>
  <w:style w:type="character" w:styleId="1207" w:customStyle="1">
    <w:name w:val="WW8Num58z0"/>
    <w:qFormat/>
  </w:style>
  <w:style w:type="character" w:styleId="1208" w:customStyle="1">
    <w:name w:val="WW8Num56z8"/>
    <w:qFormat/>
  </w:style>
  <w:style w:type="character" w:styleId="1209" w:customStyle="1">
    <w:name w:val="WW8Num56z7"/>
    <w:qFormat/>
  </w:style>
  <w:style w:type="character" w:styleId="1210" w:customStyle="1">
    <w:name w:val="WW8Num56z6"/>
    <w:qFormat/>
  </w:style>
  <w:style w:type="character" w:styleId="1211" w:customStyle="1">
    <w:name w:val="WW8Num56z5"/>
    <w:qFormat/>
  </w:style>
  <w:style w:type="character" w:styleId="1212" w:customStyle="1">
    <w:name w:val="WW8Num56z4"/>
    <w:qFormat/>
  </w:style>
  <w:style w:type="character" w:styleId="1213" w:customStyle="1">
    <w:name w:val="WW8Num56z3"/>
    <w:qFormat/>
  </w:style>
  <w:style w:type="character" w:styleId="1214" w:customStyle="1">
    <w:name w:val="WW8Num56z2"/>
    <w:qFormat/>
  </w:style>
  <w:style w:type="character" w:styleId="1215" w:customStyle="1">
    <w:name w:val="WW8Num56z1"/>
    <w:qFormat/>
  </w:style>
  <w:style w:type="character" w:styleId="1216" w:customStyle="1">
    <w:name w:val="WW8Num56z0"/>
    <w:qFormat/>
  </w:style>
  <w:style w:type="character" w:styleId="1217" w:customStyle="1">
    <w:name w:val="WW8Num55z0"/>
    <w:qFormat/>
    <w:rPr>
      <w:rFonts w:ascii="Times New Roman" w:hAnsi="Times New Roman" w:eastAsia="Times New Roman" w:cs="Times New Roman"/>
    </w:rPr>
  </w:style>
  <w:style w:type="character" w:styleId="1218" w:customStyle="1">
    <w:name w:val="WW8Num54z8"/>
    <w:qFormat/>
  </w:style>
  <w:style w:type="character" w:styleId="1219" w:customStyle="1">
    <w:name w:val="WW8Num54z7"/>
    <w:qFormat/>
  </w:style>
  <w:style w:type="character" w:styleId="1220" w:customStyle="1">
    <w:name w:val="WW8Num54z6"/>
    <w:qFormat/>
  </w:style>
  <w:style w:type="character" w:styleId="1221" w:customStyle="1">
    <w:name w:val="WW8Num54z5"/>
    <w:qFormat/>
  </w:style>
  <w:style w:type="character" w:styleId="1222" w:customStyle="1">
    <w:name w:val="WW8Num54z4"/>
    <w:qFormat/>
  </w:style>
  <w:style w:type="character" w:styleId="1223" w:customStyle="1">
    <w:name w:val="WW8Num54z3"/>
    <w:qFormat/>
  </w:style>
  <w:style w:type="character" w:styleId="1224" w:customStyle="1">
    <w:name w:val="WW8Num54z2"/>
    <w:qFormat/>
  </w:style>
  <w:style w:type="character" w:styleId="1225" w:customStyle="1">
    <w:name w:val="WW8Num54z1"/>
    <w:qFormat/>
  </w:style>
  <w:style w:type="character" w:styleId="1226" w:customStyle="1">
    <w:name w:val="WW8Num54z0"/>
    <w:qFormat/>
  </w:style>
  <w:style w:type="character" w:styleId="1227" w:customStyle="1">
    <w:name w:val="WW8Num53z0"/>
    <w:qFormat/>
    <w:rPr>
      <w:rFonts w:ascii="Times New Roman" w:hAnsi="Times New Roman" w:eastAsia="Times New Roman" w:cs="Times New Roman"/>
    </w:rPr>
  </w:style>
  <w:style w:type="character" w:styleId="1228" w:customStyle="1">
    <w:name w:val="WW8Num52z8"/>
    <w:qFormat/>
  </w:style>
  <w:style w:type="character" w:styleId="1229" w:customStyle="1">
    <w:name w:val="WW8Num52z7"/>
    <w:qFormat/>
  </w:style>
  <w:style w:type="character" w:styleId="1230" w:customStyle="1">
    <w:name w:val="WW8Num52z6"/>
    <w:qFormat/>
  </w:style>
  <w:style w:type="character" w:styleId="1231" w:customStyle="1">
    <w:name w:val="WW8Num52z5"/>
    <w:qFormat/>
  </w:style>
  <w:style w:type="character" w:styleId="1232" w:customStyle="1">
    <w:name w:val="WW8Num52z4"/>
    <w:qFormat/>
  </w:style>
  <w:style w:type="character" w:styleId="1233" w:customStyle="1">
    <w:name w:val="WW8Num52z3"/>
    <w:qFormat/>
  </w:style>
  <w:style w:type="character" w:styleId="1234" w:customStyle="1">
    <w:name w:val="WW8Num52z2"/>
    <w:qFormat/>
  </w:style>
  <w:style w:type="character" w:styleId="1235" w:customStyle="1">
    <w:name w:val="WW8Num52z1"/>
    <w:qFormat/>
    <w:rPr>
      <w:rFonts w:eastAsia="Arial"/>
      <w:szCs w:val="28"/>
    </w:rPr>
  </w:style>
  <w:style w:type="character" w:styleId="1236" w:customStyle="1">
    <w:name w:val="WW8Num52z0"/>
    <w:qFormat/>
  </w:style>
  <w:style w:type="character" w:styleId="1237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238" w:customStyle="1">
    <w:name w:val="WW8Num50z8"/>
    <w:qFormat/>
  </w:style>
  <w:style w:type="character" w:styleId="1239" w:customStyle="1">
    <w:name w:val="WW8Num50z7"/>
    <w:qFormat/>
  </w:style>
  <w:style w:type="character" w:styleId="1240" w:customStyle="1">
    <w:name w:val="WW8Num50z6"/>
    <w:qFormat/>
  </w:style>
  <w:style w:type="character" w:styleId="1241" w:customStyle="1">
    <w:name w:val="WW8Num50z5"/>
    <w:qFormat/>
  </w:style>
  <w:style w:type="character" w:styleId="1242" w:customStyle="1">
    <w:name w:val="WW8Num50z4"/>
    <w:qFormat/>
  </w:style>
  <w:style w:type="character" w:styleId="1243" w:customStyle="1">
    <w:name w:val="WW8Num50z3"/>
    <w:qFormat/>
  </w:style>
  <w:style w:type="character" w:styleId="1244" w:customStyle="1">
    <w:name w:val="WW8Num50z2"/>
    <w:qFormat/>
  </w:style>
  <w:style w:type="character" w:styleId="1245" w:customStyle="1">
    <w:name w:val="WW8Num50z1"/>
    <w:qFormat/>
    <w:rPr>
      <w:rFonts w:eastAsia="Arial"/>
      <w:szCs w:val="28"/>
    </w:rPr>
  </w:style>
  <w:style w:type="character" w:styleId="1246" w:customStyle="1">
    <w:name w:val="WW8Num50z0"/>
    <w:qFormat/>
  </w:style>
  <w:style w:type="character" w:styleId="1247" w:customStyle="1">
    <w:name w:val="WW8Num49z8"/>
    <w:qFormat/>
  </w:style>
  <w:style w:type="character" w:styleId="1248" w:customStyle="1">
    <w:name w:val="WW8Num49z7"/>
    <w:qFormat/>
  </w:style>
  <w:style w:type="character" w:styleId="1249" w:customStyle="1">
    <w:name w:val="WW8Num49z6"/>
    <w:qFormat/>
  </w:style>
  <w:style w:type="character" w:styleId="1250" w:customStyle="1">
    <w:name w:val="WW8Num49z5"/>
    <w:qFormat/>
  </w:style>
  <w:style w:type="character" w:styleId="1251" w:customStyle="1">
    <w:name w:val="WW8Num49z4"/>
    <w:qFormat/>
  </w:style>
  <w:style w:type="character" w:styleId="1252" w:customStyle="1">
    <w:name w:val="WW8Num49z3"/>
    <w:qFormat/>
  </w:style>
  <w:style w:type="character" w:styleId="1253" w:customStyle="1">
    <w:name w:val="WW8Num49z2"/>
    <w:qFormat/>
  </w:style>
  <w:style w:type="character" w:styleId="1254" w:customStyle="1">
    <w:name w:val="WW8Num49z1"/>
    <w:qFormat/>
    <w:rPr>
      <w:rFonts w:eastAsia="Arial"/>
      <w:szCs w:val="28"/>
    </w:rPr>
  </w:style>
  <w:style w:type="character" w:styleId="1255" w:customStyle="1">
    <w:name w:val="WW8Num49z0"/>
    <w:qFormat/>
  </w:style>
  <w:style w:type="character" w:styleId="1256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257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258" w:customStyle="1">
    <w:name w:val="WW8Num28z8"/>
    <w:qFormat/>
  </w:style>
  <w:style w:type="character" w:styleId="1259" w:customStyle="1">
    <w:name w:val="WW8Num28z7"/>
    <w:qFormat/>
  </w:style>
  <w:style w:type="character" w:styleId="1260" w:customStyle="1">
    <w:name w:val="WW8Num28z6"/>
    <w:qFormat/>
  </w:style>
  <w:style w:type="character" w:styleId="1261" w:customStyle="1">
    <w:name w:val="WW8Num28z5"/>
    <w:qFormat/>
  </w:style>
  <w:style w:type="character" w:styleId="1262" w:customStyle="1">
    <w:name w:val="WW8Num28z4"/>
    <w:qFormat/>
  </w:style>
  <w:style w:type="character" w:styleId="1263" w:customStyle="1">
    <w:name w:val="WW8Num28z3"/>
    <w:qFormat/>
  </w:style>
  <w:style w:type="character" w:styleId="1264" w:customStyle="1">
    <w:name w:val="WW8Num28z2"/>
    <w:qFormat/>
  </w:style>
  <w:style w:type="character" w:styleId="1265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266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267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268" w:customStyle="1">
    <w:name w:val="Цветовое выделение для Текст"/>
    <w:qFormat/>
  </w:style>
  <w:style w:type="paragraph" w:styleId="1269" w:customStyle="1">
    <w:name w:val="Заголовок"/>
    <w:basedOn w:val="862"/>
    <w:next w:val="127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70">
    <w:name w:val="Body Text"/>
    <w:basedOn w:val="862"/>
    <w:pPr>
      <w:ind w:firstLine="709"/>
    </w:pPr>
    <w:rPr>
      <w:sz w:val="28"/>
    </w:rPr>
  </w:style>
  <w:style w:type="paragraph" w:styleId="1271">
    <w:name w:val="List"/>
    <w:basedOn w:val="1270"/>
    <w:rPr>
      <w:rFonts w:cs="Arial"/>
    </w:rPr>
  </w:style>
  <w:style w:type="paragraph" w:styleId="1272">
    <w:name w:val="Caption"/>
    <w:basedOn w:val="862"/>
    <w:qFormat/>
    <w:pPr>
      <w:spacing w:before="120" w:after="120"/>
      <w:suppressLineNumbers/>
    </w:pPr>
    <w:rPr>
      <w:rFonts w:cs="Mangal"/>
      <w:i/>
      <w:iCs/>
      <w:szCs w:val="24"/>
    </w:rPr>
  </w:style>
  <w:style w:type="paragraph" w:styleId="1273">
    <w:name w:val="index heading"/>
    <w:basedOn w:val="862"/>
    <w:pPr>
      <w:ind w:firstLine="0"/>
      <w:suppressLineNumbers/>
    </w:pPr>
    <w:rPr>
      <w:b/>
      <w:bCs/>
      <w:sz w:val="32"/>
      <w:szCs w:val="32"/>
    </w:rPr>
  </w:style>
  <w:style w:type="paragraph" w:styleId="1274" w:customStyle="1">
    <w:name w:val="Колонтитул"/>
    <w:basedOn w:val="86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275" w:customStyle="1">
    <w:name w:val="Верхний и нижний колонтитулы"/>
    <w:basedOn w:val="862"/>
    <w:qFormat/>
  </w:style>
  <w:style w:type="paragraph" w:styleId="1276">
    <w:name w:val="Header"/>
    <w:basedOn w:val="862"/>
    <w:pPr>
      <w:ind w:firstLine="0"/>
      <w:jc w:val="center"/>
      <w:suppressLineNumbers/>
    </w:pPr>
  </w:style>
  <w:style w:type="paragraph" w:styleId="1277">
    <w:name w:val="Footer"/>
    <w:basedOn w:val="862"/>
  </w:style>
  <w:style w:type="paragraph" w:styleId="1278">
    <w:name w:val="toc 1"/>
    <w:basedOn w:val="862"/>
    <w:next w:val="862"/>
    <w:uiPriority w:val="39"/>
    <w:pPr>
      <w:ind w:firstLine="709"/>
      <w:spacing w:before="57" w:after="57"/>
    </w:pPr>
    <w:rPr>
      <w:rFonts w:cs="Times New Roman"/>
      <w:sz w:val="28"/>
    </w:rPr>
  </w:style>
  <w:style w:type="paragraph" w:styleId="1279">
    <w:name w:val="toc 2"/>
    <w:basedOn w:val="862"/>
    <w:next w:val="862"/>
    <w:pPr>
      <w:ind w:left="220" w:firstLine="709"/>
      <w:spacing w:after="100"/>
    </w:pPr>
  </w:style>
  <w:style w:type="paragraph" w:styleId="1280">
    <w:name w:val="toc 3"/>
    <w:basedOn w:val="862"/>
    <w:next w:val="862"/>
    <w:pPr>
      <w:ind w:left="440" w:firstLine="709"/>
      <w:spacing w:after="100"/>
    </w:pPr>
  </w:style>
  <w:style w:type="paragraph" w:styleId="1281">
    <w:name w:val="toc 4"/>
    <w:basedOn w:val="862"/>
    <w:next w:val="862"/>
    <w:pPr>
      <w:ind w:left="660" w:firstLine="0"/>
      <w:jc w:val="left"/>
      <w:spacing w:after="100" w:line="276" w:lineRule="auto"/>
    </w:pPr>
    <w:rPr>
      <w:rFonts w:eastAsia="Times New Roman"/>
    </w:rPr>
  </w:style>
  <w:style w:type="paragraph" w:styleId="1282">
    <w:name w:val="toc 5"/>
    <w:basedOn w:val="862"/>
    <w:next w:val="862"/>
    <w:pPr>
      <w:ind w:left="880" w:firstLine="0"/>
      <w:jc w:val="left"/>
      <w:spacing w:after="100" w:line="276" w:lineRule="auto"/>
    </w:pPr>
    <w:rPr>
      <w:rFonts w:eastAsia="Times New Roman"/>
    </w:rPr>
  </w:style>
  <w:style w:type="paragraph" w:styleId="1283">
    <w:name w:val="toc 6"/>
    <w:basedOn w:val="862"/>
    <w:next w:val="862"/>
    <w:pPr>
      <w:ind w:left="1100" w:firstLine="0"/>
      <w:jc w:val="left"/>
      <w:spacing w:after="100" w:line="276" w:lineRule="auto"/>
    </w:pPr>
    <w:rPr>
      <w:rFonts w:eastAsia="Times New Roman"/>
    </w:rPr>
  </w:style>
  <w:style w:type="paragraph" w:styleId="1284">
    <w:name w:val="toc 7"/>
    <w:basedOn w:val="862"/>
    <w:next w:val="862"/>
    <w:pPr>
      <w:ind w:left="1320" w:firstLine="0"/>
      <w:jc w:val="left"/>
      <w:spacing w:after="100" w:line="276" w:lineRule="auto"/>
    </w:pPr>
    <w:rPr>
      <w:rFonts w:eastAsia="Times New Roman"/>
    </w:rPr>
  </w:style>
  <w:style w:type="paragraph" w:styleId="1285">
    <w:name w:val="toc 8"/>
    <w:basedOn w:val="862"/>
    <w:next w:val="862"/>
    <w:pPr>
      <w:ind w:left="1540" w:firstLine="0"/>
      <w:jc w:val="left"/>
      <w:spacing w:after="100" w:line="276" w:lineRule="auto"/>
    </w:pPr>
    <w:rPr>
      <w:rFonts w:eastAsia="Times New Roman"/>
    </w:rPr>
  </w:style>
  <w:style w:type="paragraph" w:styleId="1286">
    <w:name w:val="toc 9"/>
    <w:basedOn w:val="862"/>
    <w:next w:val="862"/>
    <w:pPr>
      <w:ind w:left="1760" w:firstLine="0"/>
      <w:jc w:val="left"/>
      <w:spacing w:after="100" w:line="276" w:lineRule="auto"/>
    </w:pPr>
    <w:rPr>
      <w:rFonts w:eastAsia="Times New Roman"/>
    </w:rPr>
  </w:style>
  <w:style w:type="paragraph" w:styleId="1287">
    <w:name w:val="Body Text Indent"/>
    <w:basedOn w:val="862"/>
    <w:pPr>
      <w:ind w:left="283" w:firstLine="709"/>
      <w:spacing w:after="120"/>
    </w:pPr>
  </w:style>
  <w:style w:type="paragraph" w:styleId="1288">
    <w:name w:val="Subtitle"/>
    <w:basedOn w:val="862"/>
    <w:next w:val="1270"/>
    <w:qFormat/>
    <w:pPr>
      <w:ind w:firstLine="0"/>
      <w:jc w:val="center"/>
    </w:pPr>
    <w:rPr>
      <w:rFonts w:ascii="Cambria" w:hAnsi="Cambria" w:eastAsia="Times New Roman" w:cs="Cambria"/>
      <w:szCs w:val="20"/>
    </w:rPr>
  </w:style>
  <w:style w:type="paragraph" w:styleId="1289">
    <w:name w:val="footnote text"/>
    <w:basedOn w:val="862"/>
    <w:pPr>
      <w:ind w:firstLine="0"/>
      <w:spacing w:after="300" w:line="212" w:lineRule="exact"/>
      <w:shd w:val="clear" w:color="auto" w:fill="ffffff"/>
    </w:pPr>
    <w:rPr>
      <w:sz w:val="18"/>
      <w:szCs w:val="18"/>
    </w:rPr>
  </w:style>
  <w:style w:type="paragraph" w:styleId="1290" w:customStyle="1">
    <w:name w:val="Содержимое таблицы"/>
    <w:basedOn w:val="862"/>
    <w:qFormat/>
    <w:pPr>
      <w:ind w:left="28" w:firstLine="0"/>
      <w:jc w:val="left"/>
      <w:suppressLineNumbers/>
    </w:pPr>
  </w:style>
  <w:style w:type="paragraph" w:styleId="1291" w:customStyle="1">
    <w:name w:val="Заголовок таблицы"/>
    <w:basedOn w:val="1290"/>
    <w:qFormat/>
    <w:pPr>
      <w:jc w:val="center"/>
    </w:pPr>
    <w:rPr>
      <w:b/>
      <w:bCs/>
    </w:rPr>
  </w:style>
  <w:style w:type="paragraph" w:styleId="1292" w:customStyle="1">
    <w:name w:val="Содержимое врезки1"/>
    <w:basedOn w:val="862"/>
    <w:qFormat/>
    <w:pPr>
      <w:ind w:firstLine="0"/>
      <w:jc w:val="center"/>
    </w:pPr>
  </w:style>
  <w:style w:type="paragraph" w:styleId="1293" w:customStyle="1">
    <w:name w:val="Верхний колонтитул слева"/>
    <w:basedOn w:val="1276"/>
    <w:qFormat/>
    <w:pPr>
      <w:tabs>
        <w:tab w:val="center" w:pos="4677" w:leader="none"/>
        <w:tab w:val="right" w:pos="9354" w:leader="none"/>
      </w:tabs>
    </w:pPr>
  </w:style>
  <w:style w:type="paragraph" w:styleId="1294" w:customStyle="1">
    <w:name w:val="Заголовок 10"/>
    <w:basedOn w:val="1269"/>
    <w:next w:val="1270"/>
    <w:qFormat/>
    <w:pPr>
      <w:spacing w:before="60" w:after="60"/>
    </w:pPr>
    <w:rPr>
      <w:b/>
      <w:bCs/>
      <w:sz w:val="21"/>
      <w:szCs w:val="21"/>
    </w:rPr>
  </w:style>
  <w:style w:type="paragraph" w:styleId="1295">
    <w:name w:val="envelope address"/>
    <w:basedOn w:val="862"/>
    <w:pPr>
      <w:spacing w:after="60"/>
      <w:suppressLineNumbers/>
    </w:pPr>
  </w:style>
  <w:style w:type="paragraph" w:styleId="1296" w:customStyle="1">
    <w:name w:val="Библиография 1"/>
    <w:basedOn w:val="1273"/>
    <w:qFormat/>
    <w:pPr>
      <w:tabs>
        <w:tab w:val="right" w:pos="9921" w:leader="dot"/>
      </w:tabs>
    </w:pPr>
  </w:style>
  <w:style w:type="paragraph" w:styleId="1297" w:customStyle="1">
    <w:name w:val="Табличный_боковик_11"/>
    <w:qFormat/>
    <w:rPr>
      <w:rFonts w:ascii="Times New Roman" w:hAnsi="Times New Roman" w:eastAsia="Times New Roman" w:cs="Times New Roman"/>
      <w:sz w:val="22"/>
      <w:lang w:bidi="ar-SA"/>
    </w:rPr>
  </w:style>
  <w:style w:type="paragraph" w:styleId="1298" w:customStyle="1">
    <w:name w:val="Обычная таблица1"/>
    <w:qFormat/>
    <w:rPr>
      <w:rFonts w:ascii="Times New Roman" w:hAnsi="Times New Roman" w:eastAsia="Times New Roman" w:cs="Liberation Serif"/>
      <w:szCs w:val="20"/>
      <w:lang w:eastAsia="ar-SA"/>
    </w:rPr>
  </w:style>
  <w:style w:type="paragraph" w:styleId="1299" w:customStyle="1">
    <w:name w:val="Standard"/>
    <w:basedOn w:val="862"/>
    <w:qFormat/>
    <w:pPr>
      <w:ind w:firstLine="709"/>
      <w:spacing w:line="360" w:lineRule="auto"/>
    </w:pPr>
    <w:rPr>
      <w:rFonts w:ascii="Calibri" w:hAnsi="Calibri" w:eastAsia="Times New Roman"/>
      <w:color w:val="000000"/>
      <w:sz w:val="22"/>
      <w:szCs w:val="20"/>
    </w:rPr>
  </w:style>
  <w:style w:type="paragraph" w:styleId="1300" w:customStyle="1">
    <w:name w:val="western"/>
    <w:basedOn w:val="862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  <w:lang w:bidi="hi-IN"/>
    </w:rPr>
  </w:style>
  <w:style w:type="paragraph" w:styleId="1301" w:customStyle="1">
    <w:name w:val="Абзац"/>
    <w:basedOn w:val="862"/>
    <w:qFormat/>
    <w:pPr>
      <w:spacing w:before="120" w:after="60"/>
    </w:pPr>
    <w:rPr>
      <w:rFonts w:ascii="Calibri" w:hAnsi="Calibri"/>
    </w:rPr>
  </w:style>
  <w:style w:type="paragraph" w:styleId="1302" w:customStyle="1">
    <w:name w:val="ConsCell"/>
    <w:qFormat/>
    <w:pPr>
      <w:widowControl w:val="off"/>
    </w:pPr>
    <w:rPr>
      <w:rFonts w:ascii="Arial" w:hAnsi="Arial" w:eastAsia="Arial" w:cs="Arial"/>
      <w:szCs w:val="20"/>
      <w:lang w:bidi="ar-SA"/>
    </w:rPr>
  </w:style>
  <w:style w:type="paragraph" w:styleId="1303" w:customStyle="1">
    <w:name w:val="Main"/>
    <w:basedOn w:val="862"/>
    <w:qFormat/>
    <w:rPr>
      <w:rFonts w:cs="Times New Roman"/>
      <w:sz w:val="28"/>
      <w:szCs w:val="28"/>
    </w:rPr>
  </w:style>
  <w:style w:type="paragraph" w:styleId="1304" w:customStyle="1">
    <w:name w:val="Default"/>
    <w:qFormat/>
    <w:rPr>
      <w:rFonts w:ascii="Arial" w:hAnsi="Arial" w:eastAsia="0" w:cs="Arial"/>
      <w:color w:val="000000"/>
      <w:sz w:val="24"/>
      <w:lang w:eastAsia="en-US"/>
    </w:rPr>
  </w:style>
  <w:style w:type="paragraph" w:styleId="1305" w:customStyle="1">
    <w:name w:val="Основной шрифт абзаца1"/>
    <w:qFormat/>
    <w:rPr>
      <w:rFonts w:ascii="Times New Roman" w:hAnsi="Times New Roman" w:cs="Arial"/>
      <w:color w:val="000000"/>
      <w:sz w:val="24"/>
      <w:szCs w:val="20"/>
    </w:rPr>
  </w:style>
  <w:style w:type="paragraph" w:styleId="1306" w:customStyle="1">
    <w:name w:val="Содержимое врезки"/>
    <w:basedOn w:val="862"/>
    <w:qFormat/>
  </w:style>
  <w:style w:type="paragraph" w:styleId="1307" w:customStyle="1">
    <w:name w:val="Прижатый влево"/>
    <w:basedOn w:val="862"/>
    <w:qFormat/>
    <w:pPr>
      <w:widowControl w:val="off"/>
    </w:pPr>
    <w:rPr>
      <w:rFonts w:ascii="Times New Roman CYR" w:hAnsi="Times New Roman CYR" w:eastAsia="Times New Roman" w:cs="Times New Roman CYR"/>
      <w:szCs w:val="24"/>
      <w:lang w:eastAsia="ru-RU"/>
    </w:rPr>
  </w:style>
  <w:style w:type="numbering" w:styleId="1308" w:customStyle="1">
    <w:name w:val="WW8Num1"/>
    <w:qFormat/>
  </w:style>
  <w:style w:type="numbering" w:styleId="1309" w:customStyle="1">
    <w:name w:val="WW8Num2"/>
    <w:qFormat/>
  </w:style>
  <w:style w:type="numbering" w:styleId="1310" w:customStyle="1">
    <w:name w:val="WW8Num3"/>
    <w:qFormat/>
  </w:style>
  <w:style w:type="numbering" w:styleId="1311" w:customStyle="1">
    <w:name w:val="WW8Num4"/>
    <w:qFormat/>
  </w:style>
  <w:style w:type="paragraph" w:styleId="1312">
    <w:name w:val="Balloon Text"/>
    <w:basedOn w:val="862"/>
    <w:link w:val="1313"/>
    <w:uiPriority w:val="99"/>
    <w:semiHidden/>
    <w:unhideWhenUsed/>
    <w:rPr>
      <w:rFonts w:ascii="Tahoma" w:hAnsi="Tahoma" w:cs="Tahoma"/>
      <w:sz w:val="16"/>
      <w:szCs w:val="16"/>
    </w:rPr>
  </w:style>
  <w:style w:type="character" w:styleId="1313" w:customStyle="1">
    <w:name w:val="Текст выноски Знак"/>
    <w:basedOn w:val="872"/>
    <w:link w:val="1312"/>
    <w:uiPriority w:val="99"/>
    <w:semiHidden/>
    <w:rPr>
      <w:rFonts w:ascii="Tahoma" w:hAnsi="Tahoma" w:eastAsia="Calibri" w:cs="Tahoma"/>
      <w:sz w:val="16"/>
      <w:szCs w:val="16"/>
      <w:lang w:bidi="ar-SA"/>
    </w:rPr>
  </w:style>
  <w:style w:type="character" w:styleId="1314">
    <w:name w:val="Hyperlink"/>
    <w:basedOn w:val="872"/>
    <w:uiPriority w:val="99"/>
    <w:unhideWhenUsed/>
    <w:rPr>
      <w:color w:val="0000ee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77365&amp;dst=100138" TargetMode="External"/><Relationship Id="rId16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hyperlink" Target="https://login.consultant.ru/link/?req=doc&amp;base=LAW&amp;n=477365&amp;dst=100138" TargetMode="External"/><Relationship Id="rId18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hyperlink" Target="https://login.consultant.ru/link/?req=doc&amp;base=LAW&amp;n=6884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4021.00.65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dc:language>ru-RU</dc:language>
  <cp:revision>676</cp:revision>
  <dcterms:created xsi:type="dcterms:W3CDTF">2022-08-11T09:17:00Z</dcterms:created>
  <dcterms:modified xsi:type="dcterms:W3CDTF">2025-09-17T09:07:29Z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