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F3" w:rsidRDefault="008963C0">
      <w:pPr>
        <w:keepNext/>
        <w:spacing w:before="0" w:after="0"/>
        <w:ind w:left="5670"/>
        <w:jc w:val="left"/>
      </w:pPr>
      <w:r>
        <w:t xml:space="preserve">Утвержден </w:t>
      </w:r>
    </w:p>
    <w:p w:rsidR="00BB57F3" w:rsidRDefault="008963C0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BB57F3" w:rsidRDefault="008963C0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BB57F3" w:rsidRDefault="008963C0">
      <w:pPr>
        <w:keepNext/>
        <w:spacing w:before="0" w:after="0"/>
        <w:ind w:left="5670"/>
        <w:jc w:val="left"/>
      </w:pPr>
      <w:r>
        <w:t>Рязанской области</w:t>
      </w:r>
    </w:p>
    <w:p w:rsidR="00BB57F3" w:rsidRDefault="000A74CE">
      <w:pPr>
        <w:keepNext/>
        <w:tabs>
          <w:tab w:val="left" w:pos="5100"/>
        </w:tabs>
        <w:spacing w:before="0" w:after="0"/>
        <w:ind w:left="5670"/>
        <w:jc w:val="left"/>
      </w:pPr>
      <w:r>
        <w:t>от 04 сентября</w:t>
      </w:r>
      <w:r w:rsidR="008963C0">
        <w:t xml:space="preserve"> </w:t>
      </w:r>
      <w:r>
        <w:t>2025 г.</w:t>
      </w:r>
      <w:r w:rsidR="008963C0">
        <w:t xml:space="preserve"> №</w:t>
      </w:r>
      <w:r>
        <w:t xml:space="preserve"> 751-п</w:t>
      </w:r>
      <w:bookmarkStart w:id="0" w:name="_GoBack"/>
      <w:bookmarkEnd w:id="0"/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8963C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BB57F3" w:rsidRDefault="008963C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Кораблинский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 w:val="32"/>
          <w:szCs w:val="32"/>
        </w:rPr>
        <w:t>Яблоневского</w:t>
      </w:r>
      <w:proofErr w:type="spellEnd"/>
    </w:p>
    <w:p w:rsidR="00BB57F3" w:rsidRDefault="008963C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сельского округа </w:t>
      </w:r>
      <w:proofErr w:type="spellStart"/>
      <w:r>
        <w:rPr>
          <w:sz w:val="32"/>
          <w:szCs w:val="32"/>
        </w:rPr>
        <w:t>Кораблинского</w:t>
      </w:r>
      <w:proofErr w:type="spellEnd"/>
      <w:r>
        <w:rPr>
          <w:sz w:val="32"/>
          <w:szCs w:val="32"/>
        </w:rPr>
        <w:t xml:space="preserve"> района Рязанской области </w:t>
      </w:r>
    </w:p>
    <w:p w:rsidR="00BB57F3" w:rsidRDefault="008963C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B57F3" w:rsidRDefault="00BB57F3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BB57F3" w:rsidRDefault="008963C0">
      <w:pPr>
        <w:pStyle w:val="ac"/>
        <w:spacing w:after="6"/>
        <w:ind w:firstLine="0"/>
        <w:jc w:val="center"/>
        <w:rPr>
          <w:sz w:val="32"/>
          <w:szCs w:val="32"/>
        </w:rPr>
        <w:sectPr w:rsidR="00BB57F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BB57F3" w:rsidRDefault="008963C0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152075239"/>
      <w:bookmarkStart w:id="2" w:name="_Toc7283770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BB57F3" w:rsidRDefault="008963C0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color w:val="auto"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color w:val="auto"/>
          <w:sz w:val="28"/>
          <w:szCs w:val="28"/>
          <w:lang w:eastAsia="ru-RU"/>
        </w:rPr>
        <w:t>Кораблинский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color w:val="auto"/>
          <w:sz w:val="28"/>
          <w:szCs w:val="28"/>
          <w:lang w:eastAsia="ru-RU"/>
        </w:rPr>
        <w:t>Яблоневского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Кораблинского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(далее – генеральный план) подготовлен на основании постан</w:t>
      </w:r>
      <w:r>
        <w:rPr>
          <w:iCs/>
          <w:sz w:val="28"/>
          <w:szCs w:val="28"/>
          <w:lang w:eastAsia="ru-RU"/>
        </w:rPr>
        <w:t>овления главного управления архитектуры и градостроительства Рязанской области от 13.05.2025 № 349-п,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shd w:val="clear" w:color="auto" w:fill="FFFFFF"/>
          <w:lang w:eastAsia="ru-RU"/>
        </w:rPr>
        <w:br/>
        <w:t>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»,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Законом Рязанской области от 30.05.2024 № 41-ОЗ «О преобразовании муниципальных образований </w:t>
      </w:r>
      <w:proofErr w:type="spellStart"/>
      <w:r>
        <w:rPr>
          <w:iCs/>
          <w:color w:val="auto"/>
          <w:sz w:val="28"/>
          <w:szCs w:val="28"/>
          <w:lang w:eastAsia="ru-RU"/>
        </w:rPr>
        <w:t>Кораблинского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муниципального района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color w:val="auto"/>
          <w:sz w:val="28"/>
          <w:szCs w:val="28"/>
          <w:lang w:eastAsia="ru-RU"/>
        </w:rPr>
        <w:t>утратившими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BB57F3" w:rsidRDefault="00BB57F3">
      <w:pPr>
        <w:widowControl w:val="0"/>
        <w:spacing w:before="240" w:after="0"/>
        <w:jc w:val="both"/>
        <w:rPr>
          <w:color w:val="auto"/>
        </w:rPr>
      </w:pPr>
    </w:p>
    <w:p w:rsidR="00BB57F3" w:rsidRDefault="008963C0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BB57F3" w:rsidRDefault="00BB57F3">
      <w:pPr>
        <w:pStyle w:val="ac"/>
        <w:rPr>
          <w:color w:val="F10D0C"/>
          <w:sz w:val="20"/>
          <w:szCs w:val="20"/>
        </w:rPr>
      </w:pPr>
    </w:p>
    <w:p w:rsidR="00BB57F3" w:rsidRDefault="008963C0">
      <w:pPr>
        <w:pStyle w:val="ac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 xml:space="preserve">На территории муниципального образования </w:t>
      </w: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>-</w:t>
      </w:r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</w:t>
      </w:r>
      <w:proofErr w:type="spellStart"/>
      <w:r>
        <w:rPr>
          <w:rStyle w:val="a7"/>
          <w:bCs/>
          <w:iCs/>
          <w:color w:val="000000"/>
          <w:spacing w:val="4"/>
          <w:szCs w:val="28"/>
          <w:u w:val="none"/>
        </w:rPr>
        <w:t>Кораблинский</w:t>
      </w:r>
      <w:proofErr w:type="spellEnd"/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Яблоневского</w:t>
      </w:r>
      <w:proofErr w:type="spellEnd"/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сельского округа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Кораблинского</w:t>
      </w:r>
      <w:proofErr w:type="spellEnd"/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района Рязанской области</w:t>
      </w: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 xml:space="preserve"> не планируется размещение объектов </w:t>
      </w: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lang w:eastAsia="en-US"/>
        </w:rPr>
        <w:t>местного значения</w:t>
      </w: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>.</w:t>
      </w:r>
    </w:p>
    <w:p w:rsidR="00BB57F3" w:rsidRDefault="00BB57F3">
      <w:pPr>
        <w:pStyle w:val="ac"/>
        <w:suppressLineNumbers/>
        <w:contextualSpacing/>
        <w:rPr>
          <w:sz w:val="20"/>
          <w:szCs w:val="20"/>
        </w:rPr>
      </w:pPr>
    </w:p>
    <w:p w:rsidR="00BB57F3" w:rsidRDefault="008963C0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BB57F3" w:rsidRDefault="00BB57F3">
      <w:pPr>
        <w:pStyle w:val="ac"/>
        <w:numPr>
          <w:ilvl w:val="0"/>
          <w:numId w:val="1"/>
        </w:numPr>
        <w:ind w:firstLine="680"/>
        <w:rPr>
          <w:sz w:val="20"/>
          <w:szCs w:val="20"/>
        </w:rPr>
      </w:pPr>
    </w:p>
    <w:p w:rsidR="00BB57F3" w:rsidRDefault="008963C0">
      <w:pPr>
        <w:pStyle w:val="ac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Яблоневского</w:t>
      </w:r>
      <w:proofErr w:type="spellEnd"/>
      <w:r>
        <w:rPr>
          <w:rStyle w:val="a7"/>
          <w:bCs/>
          <w:iCs/>
          <w:color w:val="000000"/>
          <w:szCs w:val="28"/>
          <w:u w:val="none"/>
          <w:lang w:eastAsia="ru-RU"/>
        </w:rPr>
        <w:t xml:space="preserve"> сельского округа</w:t>
      </w:r>
      <w:r>
        <w:rPr>
          <w:szCs w:val="28"/>
        </w:rPr>
        <w:t xml:space="preserve"> учитывалось:</w:t>
      </w:r>
    </w:p>
    <w:p w:rsidR="00BB57F3" w:rsidRDefault="008963C0">
      <w:pPr>
        <w:pStyle w:val="ac"/>
        <w:numPr>
          <w:ilvl w:val="0"/>
          <w:numId w:val="1"/>
        </w:numPr>
        <w:ind w:firstLine="624"/>
      </w:pPr>
      <w:r>
        <w:rPr>
          <w:szCs w:val="28"/>
        </w:rPr>
        <w:t>- сложившееся использование земельных участков;</w:t>
      </w:r>
    </w:p>
    <w:p w:rsidR="00BB57F3" w:rsidRDefault="008963C0">
      <w:pPr>
        <w:pStyle w:val="ac"/>
        <w:numPr>
          <w:ilvl w:val="0"/>
          <w:numId w:val="1"/>
        </w:numPr>
        <w:ind w:firstLine="624"/>
      </w:pPr>
      <w:r>
        <w:rPr>
          <w:szCs w:val="28"/>
        </w:rPr>
        <w:t>- рациональные формы расселения населения;</w:t>
      </w:r>
    </w:p>
    <w:p w:rsidR="00BB57F3" w:rsidRDefault="008963C0">
      <w:pPr>
        <w:pStyle w:val="ac"/>
        <w:numPr>
          <w:ilvl w:val="0"/>
          <w:numId w:val="1"/>
        </w:numPr>
        <w:ind w:firstLine="624"/>
      </w:pPr>
      <w:r>
        <w:rPr>
          <w:szCs w:val="28"/>
        </w:rPr>
        <w:lastRenderedPageBreak/>
        <w:t xml:space="preserve">- 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BB57F3" w:rsidRDefault="008963C0">
      <w:pPr>
        <w:pStyle w:val="ac"/>
        <w:numPr>
          <w:ilvl w:val="0"/>
          <w:numId w:val="1"/>
        </w:numPr>
        <w:ind w:firstLine="624"/>
      </w:pPr>
      <w:r>
        <w:t>- 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BB57F3" w:rsidRDefault="008963C0">
      <w:pPr>
        <w:pStyle w:val="ac"/>
        <w:numPr>
          <w:ilvl w:val="0"/>
          <w:numId w:val="1"/>
        </w:numPr>
        <w:ind w:firstLine="624"/>
      </w:pPr>
      <w:r>
        <w:t xml:space="preserve">- 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BB57F3" w:rsidRDefault="008963C0">
      <w:pPr>
        <w:pStyle w:val="ac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Яблоневского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BB57F3" w:rsidRDefault="008963C0">
      <w:pPr>
        <w:pStyle w:val="ac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2"/>
        <w:gridCol w:w="4819"/>
      </w:tblGrid>
      <w:tr w:rsidR="00BB57F3">
        <w:trPr>
          <w:trHeight w:val="4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BB57F3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4D3A03">
            <w:pPr>
              <w:pStyle w:val="af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0" allowOverlap="1" wp14:anchorId="702E91B2" wp14:editId="4598450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97790</wp:posOffset>
                      </wp:positionV>
                      <wp:extent cx="790575" cy="394335"/>
                      <wp:effectExtent l="0" t="0" r="9525" b="571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margin-left:47pt;margin-top:7.7pt;width:62.25pt;height:31.05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" o:allowincell="f" fillcolor="#ff6450" strokeweight=".26mm">
                      <v:stroke joinstyle="round"/>
                    </v:rect>
                  </w:pict>
                </mc:Fallback>
              </mc:AlternateContent>
            </w:r>
            <w:r w:rsidR="008963C0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BB57F3">
            <w:pPr>
              <w:pStyle w:val="af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BB57F3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4D3A03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4" behindDoc="0" locked="0" layoutInCell="0" allowOverlap="1" wp14:anchorId="1D3D7FE7" wp14:editId="5B608ADF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50165</wp:posOffset>
                      </wp:positionV>
                      <wp:extent cx="795020" cy="398780"/>
                      <wp:effectExtent l="0" t="0" r="5080" b="127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02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6" style="position:absolute;margin-left:46.8pt;margin-top:3.95pt;width:62.6pt;height:31.4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" o:allowincell="f" fillcolor="#ca7af5" strokeweight=".26mm">
                      <v:stroke joinstyle="round"/>
                    </v:rect>
                  </w:pict>
                </mc:Fallback>
              </mc:AlternateContent>
            </w:r>
            <w:r w:rsidR="008963C0"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BB57F3">
            <w:pPr>
              <w:pStyle w:val="af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BB57F3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4D3A03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2" behindDoc="0" locked="0" layoutInCell="0" allowOverlap="1" wp14:anchorId="48E06217" wp14:editId="631FF747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97790</wp:posOffset>
                      </wp:positionV>
                      <wp:extent cx="790575" cy="394335"/>
                      <wp:effectExtent l="0" t="0" r="9525" b="5715"/>
                      <wp:wrapNone/>
                      <wp:docPr id="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26" style="position:absolute;margin-left:46.8pt;margin-top:7.7pt;width:62.25pt;height:31.05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" o:allowincell="f" fillcolor="#636382" strokeweight=".26mm">
                      <v:stroke joinstyle="round"/>
                    </v:rect>
                  </w:pict>
                </mc:Fallback>
              </mc:AlternateContent>
            </w:r>
            <w:r w:rsidR="008963C0"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BB57F3">
            <w:pPr>
              <w:pStyle w:val="af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BB57F3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4D3A03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0" allowOverlap="1" wp14:anchorId="769970D9" wp14:editId="778B2E83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97790</wp:posOffset>
                      </wp:positionV>
                      <wp:extent cx="790575" cy="394335"/>
                      <wp:effectExtent l="0" t="0" r="9525" b="5715"/>
                      <wp:wrapNone/>
                      <wp:docPr id="4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B57F3" w:rsidRDefault="00BB57F3">
                                  <w:pPr>
                                    <w:pStyle w:val="aff0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26" style="position:absolute;left:0;text-align:left;margin-left:47.15pt;margin-top:7.7pt;width:62.25pt;height:31.05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" o:allowincell="f" fillcolor="#ffffb6" strokeweight=".26mm">
                      <v:stroke joinstyle="round"/>
                      <v:textbox>
                        <w:txbxContent>
                          <w:p w:rsidR="00BB57F3" w:rsidRDefault="00BB57F3">
                            <w:pPr>
                              <w:pStyle w:val="aff0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63C0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BB57F3">
            <w:pPr>
              <w:pStyle w:val="af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BB57F3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4D3A03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0" behindDoc="0" locked="0" layoutInCell="0" allowOverlap="1" wp14:anchorId="2001A65E" wp14:editId="7A5817B2">
                      <wp:simplePos x="0" y="0"/>
                      <wp:positionH relativeFrom="column">
                        <wp:posOffset>618509</wp:posOffset>
                      </wp:positionH>
                      <wp:positionV relativeFrom="paragraph">
                        <wp:posOffset>120650</wp:posOffset>
                      </wp:positionV>
                      <wp:extent cx="771525" cy="375285"/>
                      <wp:effectExtent l="0" t="0" r="9525" b="5715"/>
                      <wp:wrapNone/>
                      <wp:docPr id="6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26" style="position:absolute;margin-left:48.7pt;margin-top:9.5pt;width:60.75pt;height:29.55pt;z-index:1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" o:allowincell="f" fillcolor="#cdaa66" strokeweight=".26mm">
                      <v:stroke joinstyle="round"/>
                    </v:rect>
                  </w:pict>
                </mc:Fallback>
              </mc:AlternateContent>
            </w:r>
            <w:r w:rsidR="008963C0"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BB57F3">
            <w:pPr>
              <w:pStyle w:val="af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jc w:val="both"/>
            </w:pPr>
            <w:r>
              <w:rPr>
                <w:rFonts w:eastAsia="Calibri"/>
              </w:rPr>
              <w:t xml:space="preserve">Иная зона сельскохозяйственного назначения предназначена для </w:t>
            </w:r>
            <w:r>
              <w:t>сельскохозяйственного использования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="Calibri"/>
              </w:rPr>
              <w:t>в границах населенных пунктов.</w:t>
            </w:r>
          </w:p>
        </w:tc>
      </w:tr>
      <w:tr w:rsidR="00BB57F3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4D3A03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0" allowOverlap="1" wp14:anchorId="0E242B69" wp14:editId="1CA21764">
                      <wp:simplePos x="0" y="0"/>
                      <wp:positionH relativeFrom="column">
                        <wp:posOffset>597857</wp:posOffset>
                      </wp:positionH>
                      <wp:positionV relativeFrom="paragraph">
                        <wp:posOffset>104614</wp:posOffset>
                      </wp:positionV>
                      <wp:extent cx="790575" cy="394335"/>
                      <wp:effectExtent l="0" t="0" r="9525" b="5715"/>
                      <wp:wrapNone/>
                      <wp:docPr id="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B57F3" w:rsidRDefault="00BB57F3">
                                  <w:pPr>
                                    <w:pStyle w:val="aff0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7" style="position:absolute;left:0;text-align:left;margin-left:47.1pt;margin-top:8.25pt;width:62.25pt;height:31.0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" o:allowincell="f" fillcolor="#1c8f69" strokeweight=".26mm">
                      <v:stroke joinstyle="round"/>
                      <v:textbox>
                        <w:txbxContent>
                          <w:p w:rsidR="00BB57F3" w:rsidRDefault="00BB57F3">
                            <w:pPr>
                              <w:pStyle w:val="aff0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63C0"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BB57F3">
            <w:pPr>
              <w:pStyle w:val="af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BB57F3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4D3A03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080" distR="5080" simplePos="0" relativeHeight="11" behindDoc="0" locked="0" layoutInCell="0" allowOverlap="1" wp14:anchorId="14302779" wp14:editId="166707A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125730</wp:posOffset>
                      </wp:positionV>
                      <wp:extent cx="781050" cy="374650"/>
                      <wp:effectExtent l="0" t="0" r="0" b="6350"/>
                      <wp:wrapNone/>
                      <wp:docPr id="9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1" o:spid="_x0000_s1026" style="position:absolute;margin-left:48.45pt;margin-top:9.9pt;width:61.5pt;height:29.5pt;z-index:11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" o:allowincell="f" fillcolor="#f4b6b6" strokeweight=".26mm">
                      <v:stroke joinstyle="round"/>
                    </v:rect>
                  </w:pict>
                </mc:Fallback>
              </mc:AlternateContent>
            </w:r>
            <w:r w:rsidR="008963C0"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BB57F3">
            <w:pPr>
              <w:pStyle w:val="af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widowControl w:val="0"/>
              <w:numPr>
                <w:ilvl w:val="0"/>
                <w:numId w:val="2"/>
              </w:numPr>
              <w:suppressLineNumbers/>
              <w:spacing w:before="0" w:after="0"/>
              <w:ind w:left="113"/>
              <w:contextualSpacing/>
              <w:jc w:val="left"/>
            </w:pPr>
            <w:r>
              <w:rPr>
                <w:rStyle w:val="20"/>
                <w:rFonts w:eastAsia="Arial"/>
                <w:spacing w:val="4"/>
                <w:lang w:eastAsia="ar-SA"/>
              </w:rPr>
              <w:t xml:space="preserve">Иные рекреационные зоны  </w:t>
            </w:r>
            <w:r>
              <w:rPr>
                <w:rStyle w:val="20"/>
                <w:spacing w:val="4"/>
                <w:lang w:eastAsia="ru-RU"/>
              </w:rPr>
              <w:t>предназначены для осуществления деятельности, связанной с охраной природных территорий</w:t>
            </w:r>
            <w:r>
              <w:rPr>
                <w:rStyle w:val="20"/>
                <w:rFonts w:eastAsia="Arial"/>
                <w:spacing w:val="4"/>
                <w:lang w:eastAsia="ar-SA"/>
              </w:rPr>
              <w:t xml:space="preserve"> </w:t>
            </w:r>
            <w:r>
              <w:rPr>
                <w:rStyle w:val="20"/>
                <w:spacing w:val="5"/>
                <w:lang w:eastAsia="ru-RU"/>
              </w:rPr>
              <w:t>в границах особо охраняемых природных территорий.</w:t>
            </w:r>
          </w:p>
        </w:tc>
      </w:tr>
      <w:tr w:rsidR="00BB57F3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4D3A03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9" behindDoc="0" locked="0" layoutInCell="0" allowOverlap="1" wp14:anchorId="6177B989" wp14:editId="49159C8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116840</wp:posOffset>
                      </wp:positionV>
                      <wp:extent cx="790575" cy="394335"/>
                      <wp:effectExtent l="0" t="0" r="9525" b="5715"/>
                      <wp:wrapNone/>
                      <wp:docPr id="10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26" style="position:absolute;margin-left:48.55pt;margin-top:9.2pt;width:62.25pt;height:31.0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" o:allowincell="f" fillcolor="#69b366" strokeweight=".26mm">
                      <v:stroke joinstyle="round"/>
                    </v:rect>
                  </w:pict>
                </mc:Fallback>
              </mc:AlternateContent>
            </w:r>
            <w:r w:rsidR="008963C0"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BB57F3">
            <w:pPr>
              <w:pStyle w:val="af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BB57F3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BB57F3" w:rsidRDefault="00BB57F3">
      <w:pPr>
        <w:pStyle w:val="ac"/>
        <w:numPr>
          <w:ilvl w:val="0"/>
          <w:numId w:val="1"/>
        </w:numPr>
        <w:ind w:firstLine="709"/>
        <w:rPr>
          <w:sz w:val="20"/>
          <w:szCs w:val="20"/>
        </w:rPr>
      </w:pPr>
    </w:p>
    <w:p w:rsidR="00BB57F3" w:rsidRDefault="008963C0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a7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7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Яблоневского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a7"/>
          <w:bCs/>
          <w:iCs/>
          <w:color w:val="000000"/>
          <w:u w:val="none"/>
        </w:rPr>
        <w:t>отображено на карте функциональных зон.</w:t>
      </w:r>
    </w:p>
    <w:p w:rsidR="00BB57F3" w:rsidRDefault="008963C0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a7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Яблоневского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a7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a7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BB57F3" w:rsidRDefault="00BB57F3">
      <w:pPr>
        <w:pStyle w:val="ac"/>
        <w:jc w:val="right"/>
        <w:rPr>
          <w:sz w:val="32"/>
          <w:szCs w:val="32"/>
        </w:rPr>
      </w:pPr>
    </w:p>
    <w:p w:rsidR="00BB57F3" w:rsidRDefault="008963C0">
      <w:pPr>
        <w:pStyle w:val="ac"/>
        <w:jc w:val="right"/>
        <w:rPr>
          <w:sz w:val="32"/>
          <w:szCs w:val="32"/>
        </w:rPr>
      </w:pPr>
      <w: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192"/>
        <w:gridCol w:w="1083"/>
        <w:gridCol w:w="1709"/>
        <w:gridCol w:w="1693"/>
        <w:gridCol w:w="1706"/>
      </w:tblGrid>
      <w:tr w:rsidR="00BB57F3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7F3" w:rsidRDefault="008963C0">
            <w:pPr>
              <w:pStyle w:val="afa"/>
              <w:widowControl w:val="0"/>
            </w:pPr>
            <w:r>
              <w:t>№</w:t>
            </w:r>
          </w:p>
          <w:p w:rsidR="00BB57F3" w:rsidRDefault="008963C0">
            <w:pPr>
              <w:pStyle w:val="afa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7F3" w:rsidRDefault="008963C0">
            <w:pPr>
              <w:pStyle w:val="afa"/>
              <w:widowControl w:val="0"/>
            </w:pPr>
            <w:r>
              <w:t>Наименование</w:t>
            </w:r>
          </w:p>
          <w:p w:rsidR="00BB57F3" w:rsidRDefault="008963C0">
            <w:pPr>
              <w:pStyle w:val="afa"/>
              <w:widowControl w:val="0"/>
            </w:pPr>
            <w:r>
              <w:t>функциональной зоны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7F3" w:rsidRDefault="008963C0">
            <w:pPr>
              <w:pStyle w:val="afa"/>
              <w:widowControl w:val="0"/>
            </w:pPr>
            <w:r>
              <w:t>Площадь,</w:t>
            </w:r>
          </w:p>
          <w:p w:rsidR="00BB57F3" w:rsidRDefault="008963C0">
            <w:pPr>
              <w:pStyle w:val="afa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7F3" w:rsidRDefault="008963C0">
            <w:pPr>
              <w:pStyle w:val="afa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7F3" w:rsidRDefault="008963C0">
            <w:pPr>
              <w:pStyle w:val="afa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7F3" w:rsidRDefault="008963C0">
            <w:pPr>
              <w:pStyle w:val="afa"/>
              <w:widowControl w:val="0"/>
            </w:pPr>
            <w:r>
              <w:t>Максимальная этажность</w:t>
            </w:r>
          </w:p>
        </w:tc>
      </w:tr>
      <w:tr w:rsidR="00BB57F3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</w:pPr>
            <w:r>
              <w:t>683,38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</w:pPr>
            <w:r>
              <w:t>Застройка индивидуальными жилыми домами</w:t>
            </w:r>
          </w:p>
        </w:tc>
      </w:tr>
      <w:tr w:rsidR="00BB57F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BB57F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блокированными жилыми домами</w:t>
            </w:r>
          </w:p>
        </w:tc>
      </w:tr>
      <w:tr w:rsidR="00BB57F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BB57F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малоэтажными жилыми домами</w:t>
            </w:r>
          </w:p>
        </w:tc>
      </w:tr>
      <w:tr w:rsidR="00BB57F3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7F3" w:rsidRDefault="00BB57F3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4</w:t>
            </w:r>
          </w:p>
        </w:tc>
      </w:tr>
      <w:tr w:rsidR="00BB57F3">
        <w:trPr>
          <w:trHeight w:hRule="exact" w:val="59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0,7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BB57F3">
        <w:trPr>
          <w:trHeight w:hRule="exact" w:val="59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0,13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BB57F3">
        <w:trPr>
          <w:trHeight w:hRule="exact" w:val="72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12324,7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BB57F3">
        <w:trPr>
          <w:trHeight w:hRule="exact" w:val="91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</w:pPr>
            <w:r>
              <w:t>26,06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BB57F3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672,9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BB57F3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16,23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BB57F3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7,8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BB57F3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Зона кладбищ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5,15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BB57F3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F3" w:rsidRDefault="008963C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BB57F3" w:rsidRDefault="008963C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sz w:val="24"/>
              </w:rPr>
              <w:t>1. 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BB57F3" w:rsidRDefault="008963C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2. 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BB57F3" w:rsidRDefault="008963C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 xml:space="preserve">3. 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BB57F3" w:rsidRDefault="008963C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 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BB57F3" w:rsidRDefault="008963C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5. 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BB57F3" w:rsidRDefault="008963C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 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BB57F3" w:rsidRDefault="00BB57F3">
      <w:pPr>
        <w:spacing w:before="0" w:after="0"/>
        <w:ind w:firstLine="709"/>
        <w:contextualSpacing/>
        <w:jc w:val="both"/>
        <w:rPr>
          <w:sz w:val="20"/>
          <w:szCs w:val="20"/>
        </w:rPr>
      </w:pPr>
    </w:p>
    <w:p w:rsidR="00BB57F3" w:rsidRDefault="008963C0">
      <w:pPr>
        <w:spacing w:before="0" w:after="0"/>
        <w:ind w:firstLine="709"/>
        <w:contextualSpacing/>
        <w:jc w:val="both"/>
        <w:rPr>
          <w:sz w:val="32"/>
          <w:szCs w:val="32"/>
        </w:rPr>
      </w:pPr>
      <w:r>
        <w:rPr>
          <w:rStyle w:val="a7"/>
          <w:iCs/>
          <w:color w:val="000000"/>
          <w:sz w:val="28"/>
          <w:szCs w:val="28"/>
          <w:u w:val="none"/>
        </w:rPr>
        <w:t xml:space="preserve">На территории муниципального образования – </w:t>
      </w:r>
      <w:proofErr w:type="spellStart"/>
      <w:r>
        <w:rPr>
          <w:rStyle w:val="a7"/>
          <w:iCs/>
          <w:color w:val="000000"/>
          <w:sz w:val="28"/>
          <w:szCs w:val="28"/>
          <w:u w:val="none"/>
        </w:rPr>
        <w:t>Кораблинский</w:t>
      </w:r>
      <w:proofErr w:type="spellEnd"/>
      <w:r>
        <w:rPr>
          <w:rStyle w:val="a7"/>
          <w:iCs/>
          <w:color w:val="000000"/>
          <w:sz w:val="28"/>
          <w:szCs w:val="28"/>
          <w:u w:val="none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Яблоневского</w:t>
      </w:r>
      <w:proofErr w:type="spellEnd"/>
      <w:r>
        <w:rPr>
          <w:rStyle w:val="a7"/>
          <w:iCs/>
          <w:color w:val="000000"/>
          <w:sz w:val="28"/>
          <w:szCs w:val="28"/>
          <w:u w:val="none"/>
        </w:rPr>
        <w:t xml:space="preserve"> сельского округа утвержденными документами территориального планирования не планируется размещение объектов федерального и регионального значения.</w:t>
      </w:r>
    </w:p>
    <w:sectPr w:rsidR="00BB57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44" w:rsidRDefault="00405344">
      <w:pPr>
        <w:spacing w:before="0" w:after="0"/>
      </w:pPr>
      <w:r>
        <w:separator/>
      </w:r>
    </w:p>
  </w:endnote>
  <w:endnote w:type="continuationSeparator" w:id="0">
    <w:p w:rsidR="00405344" w:rsidRDefault="004053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BB57F3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BB57F3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BB57F3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BB57F3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BB57F3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44" w:rsidRDefault="00405344">
      <w:pPr>
        <w:spacing w:before="0" w:after="0"/>
      </w:pPr>
      <w:r>
        <w:separator/>
      </w:r>
    </w:p>
  </w:footnote>
  <w:footnote w:type="continuationSeparator" w:id="0">
    <w:p w:rsidR="00405344" w:rsidRDefault="004053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BB57F3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BB57F3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8963C0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8F56E9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8963C0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8F56E9">
      <w:rPr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F3" w:rsidRDefault="00BB57F3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E07F9"/>
    <w:multiLevelType w:val="multilevel"/>
    <w:tmpl w:val="0F36E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BB054C"/>
    <w:multiLevelType w:val="multilevel"/>
    <w:tmpl w:val="AC20F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2A468A"/>
    <w:multiLevelType w:val="multilevel"/>
    <w:tmpl w:val="E1A28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3"/>
    <w:rsid w:val="000A74CE"/>
    <w:rsid w:val="00405344"/>
    <w:rsid w:val="004D3A03"/>
    <w:rsid w:val="008963C0"/>
    <w:rsid w:val="008F56E9"/>
    <w:rsid w:val="00B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styleId="a7">
    <w:name w:val="Hyperlink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9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d">
    <w:name w:val="List"/>
    <w:basedOn w:val="a"/>
    <w:pPr>
      <w:ind w:left="283" w:hanging="283"/>
    </w:pPr>
    <w:rPr>
      <w:color w:val="FFFFFF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/>
    </w:pPr>
    <w:rPr>
      <w:i/>
    </w:rPr>
  </w:style>
  <w:style w:type="paragraph" w:styleId="af4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Верхний и нижний колонтитулы"/>
    <w:basedOn w:val="a"/>
    <w:qFormat/>
  </w:style>
  <w:style w:type="paragraph" w:customStyle="1" w:styleId="af8">
    <w:name w:val="Колонтитул"/>
    <w:basedOn w:val="a"/>
    <w:qFormat/>
  </w:style>
  <w:style w:type="paragraph" w:styleId="af9">
    <w:name w:val="footer"/>
    <w:basedOn w:val="a"/>
    <w:pPr>
      <w:ind w:left="757"/>
    </w:pPr>
    <w:rPr>
      <w:color w:val="808080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styleId="afb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c">
    <w:name w:val="Заголовок таблицы"/>
    <w:basedOn w:val="afa"/>
    <w:qFormat/>
    <w:rPr>
      <w:b/>
      <w:bCs/>
    </w:rPr>
  </w:style>
  <w:style w:type="paragraph" w:styleId="afd">
    <w:name w:val="header"/>
    <w:basedOn w:val="a"/>
  </w:style>
  <w:style w:type="paragraph" w:styleId="afe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3">
    <w:name w:val="toc 1"/>
    <w:basedOn w:val="a"/>
  </w:style>
  <w:style w:type="paragraph" w:customStyle="1" w:styleId="aff">
    <w:name w:val="Верхний колонтитул слева"/>
    <w:basedOn w:val="afd"/>
    <w:qFormat/>
    <w:pPr>
      <w:suppressLineNumbers/>
      <w:tabs>
        <w:tab w:val="center" w:pos="5031"/>
        <w:tab w:val="right" w:pos="10062"/>
      </w:tabs>
    </w:pPr>
  </w:style>
  <w:style w:type="paragraph" w:customStyle="1" w:styleId="aff0">
    <w:name w:val="Содержимое врезки"/>
    <w:basedOn w:val="a"/>
    <w:qFormat/>
    <w:pPr>
      <w:spacing w:before="0" w:after="0"/>
    </w:pPr>
  </w:style>
  <w:style w:type="paragraph" w:customStyle="1" w:styleId="af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2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2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3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4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aff5">
    <w:name w:val="Без списка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540</cp:revision>
  <cp:lastPrinted>2025-09-04T09:42:00Z</cp:lastPrinted>
  <dcterms:created xsi:type="dcterms:W3CDTF">2024-01-19T12:41:00Z</dcterms:created>
  <dcterms:modified xsi:type="dcterms:W3CDTF">2025-09-04T09:42:00Z</dcterms:modified>
  <dc:language>ru-RU</dc:language>
</cp:coreProperties>
</file>