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A3" w:rsidRDefault="00B11F7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A3" w:rsidRDefault="00B11F7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C77A3" w:rsidRDefault="00B11F7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C77A3" w:rsidRDefault="008C77A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C77A3" w:rsidRDefault="008C77A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C77A3" w:rsidRDefault="00B11F7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C77A3" w:rsidRDefault="008C77A3">
      <w:pPr>
        <w:tabs>
          <w:tab w:val="left" w:pos="709"/>
        </w:tabs>
        <w:jc w:val="center"/>
        <w:rPr>
          <w:sz w:val="28"/>
        </w:rPr>
      </w:pPr>
    </w:p>
    <w:p w:rsidR="008C77A3" w:rsidRDefault="008C77A3">
      <w:pPr>
        <w:tabs>
          <w:tab w:val="left" w:pos="709"/>
        </w:tabs>
        <w:jc w:val="center"/>
        <w:rPr>
          <w:sz w:val="28"/>
        </w:rPr>
      </w:pPr>
    </w:p>
    <w:p w:rsidR="008C77A3" w:rsidRDefault="00B11F7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F43E4">
        <w:rPr>
          <w:sz w:val="28"/>
        </w:rPr>
        <w:t>04</w:t>
      </w:r>
      <w:r>
        <w:rPr>
          <w:sz w:val="28"/>
        </w:rPr>
        <w:t>»</w:t>
      </w:r>
      <w:r w:rsidR="007F43E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</w:t>
      </w:r>
      <w:r w:rsidR="007F43E4">
        <w:rPr>
          <w:sz w:val="28"/>
        </w:rPr>
        <w:tab/>
      </w:r>
      <w:r w:rsidR="007F43E4">
        <w:rPr>
          <w:sz w:val="28"/>
        </w:rPr>
        <w:tab/>
      </w:r>
      <w:r>
        <w:rPr>
          <w:sz w:val="28"/>
        </w:rPr>
        <w:t xml:space="preserve">  № </w:t>
      </w:r>
      <w:r w:rsidR="007F43E4">
        <w:rPr>
          <w:sz w:val="28"/>
        </w:rPr>
        <w:t>753-п</w:t>
      </w:r>
    </w:p>
    <w:p w:rsidR="008C77A3" w:rsidRDefault="008C77A3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C77A3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7A3" w:rsidRDefault="008C77A3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C77A3" w:rsidRDefault="00B11F76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bookmarkEnd w:id="0"/>
          <w:p w:rsidR="008C77A3" w:rsidRDefault="008C77A3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C77A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7A3" w:rsidRDefault="00B11F76">
            <w:pPr>
              <w:ind w:firstLine="709"/>
              <w:jc w:val="both"/>
              <w:rPr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>,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  <w:bookmarkStart w:id="1" w:name="undefined"/>
            <w:bookmarkEnd w:id="1"/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постановлением главного управления архитектуры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и градостроительства Рязанской области от 14.12.2022 № 765-п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«Об утверждении правил землепользования и застройки муниципального образования -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Рыбновское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городское поселение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Рыбновского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Глав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архитектуры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Рязанской области от 27.11.2023 № 569-п, от 15.12.2023 № 599-п, от 06.02.2024 № 43-п, от 08.04.2024 № 124-п, от 06.05.2024 № 210-п, от 03.07.2024 № 322-п,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17.07.2024 № 345-п, от 30.07.2024 № 366-п, от 14.10.2024 № 566-п,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16.10.2024 № 573-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п, от 10.12.2024 № 720-п, от 20.12.2024 № 803-п,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31.01.2025 № 84-п, от 21.03.2025 № 209-п, от 13.05.2025 № 351-п,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22.07.2025 № 577-п, от 05.08.2025 № 616-п, от</w:t>
            </w:r>
            <w:r>
              <w:rPr>
                <w:rFonts w:eastAsia="Tahoma" w:cs="Noto Sans Devanagari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15.08.2025 № 678-п</w:t>
            </w:r>
            <w:r>
              <w:rPr>
                <w:rFonts w:eastAsia="Tahoma" w:cs="Noto Sans Devanagari"/>
                <w:b/>
                <w:bCs/>
                <w:sz w:val="28"/>
                <w:highlight w:val="white"/>
                <w:lang w:eastAsia="zh-CN" w:bidi="hi-IN"/>
              </w:rPr>
              <w:t>,</w:t>
            </w:r>
            <w:r>
              <w:rPr>
                <w:rFonts w:eastAsia="Tahoma" w:cs="Noto Sans Devanagari"/>
                <w:b/>
                <w:bCs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lastRenderedPageBreak/>
              <w:t>с изменениями, внесенными решениями Рязанского областного суда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03.0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9.2024 № 3а-182/2024, от 07.10.2024 № 3а-144/2024)</w:t>
            </w:r>
            <w:r>
              <w:rPr>
                <w:color w:val="auto"/>
                <w:sz w:val="28"/>
                <w:szCs w:val="28"/>
                <w:lang w:eastAsia="zh-CN" w:bidi="hi-IN"/>
              </w:rPr>
              <w:t xml:space="preserve"> (далее – проект внесения изменений в правила землепользования и застройки), в части изменения предельных параметров территориальной зоны «Зона объектов транспортной инфраструктуры (4.6)» для вида разрешенн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ого использования «Размещение гаражей для собственных нужд (2.7.2)», установив предельный минимальный размер площади земельных участков 16 кв. м.</w:t>
            </w:r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</w:t>
            </w:r>
            <w:r>
              <w:rPr>
                <w:color w:val="auto"/>
                <w:sz w:val="28"/>
                <w:szCs w:val="28"/>
              </w:rPr>
              <w:t>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</w:t>
            </w:r>
            <w:r>
              <w:rPr>
                <w:color w:val="auto"/>
                <w:sz w:val="28"/>
                <w:szCs w:val="28"/>
              </w:rPr>
              <w:t>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8C77A3" w:rsidRDefault="00B11F7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C77A3" w:rsidRDefault="00B11F76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</w:t>
            </w:r>
            <w:r>
              <w:rPr>
                <w:color w:val="auto"/>
                <w:sz w:val="28"/>
                <w:szCs w:val="28"/>
              </w:rPr>
              <w:t>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8C77A3" w:rsidRDefault="00B11F7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8C77A3" w:rsidRDefault="008C77A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C77A3" w:rsidRDefault="008C77A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C77A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7A3" w:rsidRDefault="00B11F76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8C77A3" w:rsidRDefault="008C77A3">
      <w:pPr>
        <w:tabs>
          <w:tab w:val="left" w:pos="709"/>
        </w:tabs>
        <w:jc w:val="both"/>
        <w:rPr>
          <w:sz w:val="28"/>
        </w:rPr>
      </w:pPr>
    </w:p>
    <w:p w:rsidR="008C77A3" w:rsidRDefault="008C77A3"/>
    <w:sectPr w:rsidR="008C77A3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76" w:rsidRDefault="00B11F76">
      <w:r>
        <w:separator/>
      </w:r>
    </w:p>
  </w:endnote>
  <w:endnote w:type="continuationSeparator" w:id="0">
    <w:p w:rsidR="00B11F76" w:rsidRDefault="00B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76" w:rsidRDefault="00B11F76">
      <w:r>
        <w:separator/>
      </w:r>
    </w:p>
  </w:footnote>
  <w:footnote w:type="continuationSeparator" w:id="0">
    <w:p w:rsidR="00B11F76" w:rsidRDefault="00B1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A3" w:rsidRDefault="00B11F7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C77A3" w:rsidRDefault="008C77A3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6B7"/>
    <w:multiLevelType w:val="multilevel"/>
    <w:tmpl w:val="B0682D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  <w:highlight w:val="whit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A3"/>
    <w:rsid w:val="007F43E4"/>
    <w:rsid w:val="008C77A3"/>
    <w:rsid w:val="00B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A24F"/>
  <w15:docId w15:val="{2A4CD84B-3690-4025-8353-0F84EEA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f8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153</cp:revision>
  <dcterms:created xsi:type="dcterms:W3CDTF">2020-12-26T06:51:00Z</dcterms:created>
  <dcterms:modified xsi:type="dcterms:W3CDTF">2025-09-04T09:09:00Z</dcterms:modified>
</cp:coreProperties>
</file>