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0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0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0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0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0"/>
        <w:ind w:firstLine="652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 </w:t>
      </w:r>
      <w:r>
        <w:rPr>
          <w:rFonts w:ascii="Times New Roman" w:hAnsi="Times New Roman" w:eastAsia="Times New Roman" w:cs="Times New Roman"/>
        </w:rPr>
        <w:t xml:space="preserve">25 сентября 2025 г. № 819-п</w:t>
      </w:r>
      <w:r>
        <w:rPr>
          <w:rFonts w:ascii="Times New Roman" w:hAnsi="Times New Roman" w:cs="Times New Roman"/>
        </w:rPr>
      </w:r>
    </w:p>
    <w:p>
      <w:pPr>
        <w:pStyle w:val="691"/>
        <w:contextualSpacing/>
        <w:spacing w:before="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690"/>
        <w:numPr>
          <w:ilvl w:val="0"/>
          <w:numId w:val="0"/>
        </w:numPr>
        <w:ind w:left="0" w:firstLine="540"/>
        <w:jc w:val="both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1.1.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/>
        </w:rPr>
        <w:t xml:space="preserve">Ж-1 Зона индивидуальной жилой застройки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65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p>
      <w:pPr>
        <w:pStyle w:val="690"/>
        <w:ind w:left="142" w:firstLine="397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/>
        </w:rPr>
        <w:t xml:space="preserve">Ж-1 Зона 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/>
        </w:rPr>
        <w:t xml:space="preserve">индивидуальной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/>
        </w:rPr>
        <w:t xml:space="preserve"> жилой застройки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 таблице 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5"/>
        <w:ind w:left="142" w:firstLine="567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249"/>
        <w:gridCol w:w="5776"/>
        <w:gridCol w:w="2038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pStyle w:val="76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6" w:type="dxa"/>
            <w:vAlign w:val="center"/>
            <w:textDirection w:val="lrTb"/>
            <w:noWrap w:val="false"/>
          </w:tcPr>
          <w:p>
            <w:pPr>
              <w:pStyle w:val="76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restart"/>
            <w:textDirection w:val="lrTb"/>
            <w:noWrap w:val="false"/>
          </w:tcPr>
          <w:p>
            <w:pPr>
              <w:pStyle w:val="76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для индивидуального жилищного строительства;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</w:pPr>
            <w:r>
              <w:t xml:space="preserve">2.1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малоэтажная многоквартирная жилая застройка;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51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для ведения личного подсобного хозяйства (приусадебный земельный участок);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2.2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блокированная жилая застройка;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</w:pPr>
            <w:r>
              <w:t xml:space="preserve">2.3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х</w:t>
            </w:r>
            <w:r>
              <w:t xml:space="preserve">ранение автотранспорта;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</w:pPr>
            <w:r>
              <w:t xml:space="preserve">2.7.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административные здания организаций, обеспечивающих предоставление коммунальных услуг;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оказание услуг связи;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бытовое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амбулаторно-поликлиническое обслуживание;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дошкольное, начальное и среднее общее образование;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объекты культурно-досуговой деятельности;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0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государственное управление;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0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</w:pPr>
            <w:r>
              <w:t xml:space="preserve">обеспечение деятельности в области гидрометеорологии и смежных с ней областях;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57" w:firstLine="0"/>
              <w:jc w:val="center"/>
              <w:spacing w:before="0" w:after="0"/>
              <w:widowControl w:val="off"/>
            </w:pPr>
            <w:r>
              <w:t xml:space="preserve">3.9.1</w:t>
            </w:r>
            <w:r/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0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магазины;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3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0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обеспечение занятий спортом в помещениях;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0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площадки для занятий спортом;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0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обеспечение внутреннего правопорядка;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vMerge w:val="continue"/>
            <w:textDirection w:val="lrTb"/>
            <w:noWrap w:val="false"/>
          </w:tcPr>
          <w:p>
            <w:pPr>
              <w:pStyle w:val="690"/>
              <w:contextualSpacing/>
              <w:ind w:left="28" w:firstLine="0"/>
              <w:spacing w:before="0" w:after="0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  <w:r>
              <w:rPr>
                <w:rFonts w:eastAsia="Times New Roman" w:cs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spacing w:before="0" w:after="0"/>
              <w:widowControl w:val="off"/>
              <w:rPr>
                <w:color w:val="auto"/>
              </w:rPr>
            </w:pPr>
            <w:r>
              <w:t xml:space="preserve">земельные участки (территории) общего пользования.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6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6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ind w:left="57" w:firstLine="0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не подлежат установлению.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6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6" w:type="dxa"/>
            <w:textDirection w:val="lrTb"/>
            <w:noWrap w:val="false"/>
          </w:tcPr>
          <w:p>
            <w:pPr>
              <w:pStyle w:val="766"/>
              <w:ind w:left="57" w:firstLine="0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не подлежат установлению.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8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</w:pPr>
            <w:r>
              <w:t xml:space="preserve">-</w:t>
            </w:r>
            <w:r/>
          </w:p>
        </w:tc>
      </w:tr>
    </w:tbl>
    <w:p>
      <w:pPr>
        <w:pStyle w:val="765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690"/>
        <w:ind w:left="142" w:firstLine="425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Предельные размеры земельных участков, в том числе их площадь и предельные параметры разрешенного строительства, реконструкции объектов капитального строительства в 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/>
        </w:rPr>
        <w:t xml:space="preserve">Ж-1 Зона 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eastAsia="zh-CN"/>
        </w:rPr>
        <w:t xml:space="preserve">индивидуальной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/>
        </w:rPr>
        <w:t xml:space="preserve"> жилой застройки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 представлены в таблице 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5"/>
        <w:ind w:firstLine="0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765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lang w:eastAsia="zh-CN" w:bidi="ar-SA"/>
        </w:rPr>
      </w:r>
      <w:r>
        <w:br w:type="page" w:clear="all"/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p>
      <w:pPr>
        <w:pStyle w:val="765"/>
        <w:jc w:val="right"/>
        <w:rPr>
          <w:rFonts w:eastAsia="NSimSun" w:cs="Times New Roman"/>
          <w:color w:val="auto"/>
          <w:lang w:eastAsia="zh-CN" w:bidi="ar-SA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2</w:t>
      </w:r>
      <w:r>
        <w:rPr>
          <w:rFonts w:eastAsia="NSimSun" w:cs="Times New Roman"/>
          <w:color w:val="auto"/>
          <w:lang w:eastAsia="zh-CN" w:bidi="ar-SA"/>
        </w:rPr>
      </w:r>
      <w:r>
        <w:rPr>
          <w:rFonts w:eastAsia="NSimSun" w:cs="Times New Roman"/>
          <w:color w:val="auto"/>
          <w:lang w:eastAsia="zh-CN" w:bidi="ar-SA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879"/>
        <w:gridCol w:w="1080"/>
        <w:gridCol w:w="1226"/>
        <w:gridCol w:w="1103"/>
        <w:gridCol w:w="1347"/>
        <w:gridCol w:w="1737"/>
        <w:gridCol w:w="1697"/>
      </w:tblGrid>
      <w:tr>
        <w:tblPrEx/>
        <w:trPr>
          <w:trHeight w:val="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59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766"/>
              <w:ind w:lef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9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47" w:type="dxa"/>
            <w:vMerge w:val="restart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7" w:type="dxa"/>
            <w:vMerge w:val="restart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Merge w:val="restart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Максимальный процент застройки 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6"/>
              <w:ind w:left="-28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9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vMerge w:val="continue"/>
            <w:textDirection w:val="lrTb"/>
            <w:noWrap w:val="false"/>
          </w:tcPr>
          <w:p>
            <w:pPr>
              <w:pStyle w:val="766"/>
              <w:jc w:val="center"/>
              <w:spacing w:before="100" w:after="1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vMerge w:val="continue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vMerge w:val="continue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609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2.1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(5000)*</w:t>
            </w:r>
            <w:r>
              <w:rPr>
                <w:rFonts w:eastAsia="Calibri" w:cs="Calibri"/>
                <w:sz w:val="22"/>
                <w:szCs w:val="22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2.1.1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4*/НПУ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617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2.2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15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2500***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(5000)*</w:t>
            </w:r>
            <w:r>
              <w:rPr>
                <w:rFonts w:eastAsia="Calibri" w:cs="Calibri"/>
                <w:sz w:val="22"/>
                <w:szCs w:val="22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200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2500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 (0)**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3*/20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40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2.7.1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80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1*/4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3.1.1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3/20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3.4.1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3.5.1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3.6.1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3.8.1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3.9.1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4.4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3/20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5.1.2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</w:t>
            </w:r>
            <w:r>
              <w:rPr>
                <w:color w:val="auto"/>
              </w:rPr>
              <w:t xml:space="preserve">00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5.1.3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8.3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3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9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0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3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textDirection w:val="lrTb"/>
            <w:noWrap w:val="false"/>
          </w:tcPr>
          <w:p>
            <w:pPr>
              <w:pStyle w:val="766"/>
              <w:ind w:lef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  <w:tr>
        <w:tblPrEx/>
        <w:trPr>
          <w:trHeight w:val="5015" w:hRule="exact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66"/>
              <w:ind w:left="57" w:right="57" w:firstLine="0"/>
              <w:jc w:val="both"/>
              <w:spacing w:before="0" w:after="0"/>
              <w:widowControl w:val="off"/>
              <w:rPr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* </w:t>
            </w:r>
            <w:r>
              <w:rPr>
                <w:rFonts w:eastAsia="Calibri" w:cs="Calibri"/>
                <w:sz w:val="24"/>
                <w:szCs w:val="24"/>
                <w:lang w:eastAsia="zh-CN" w:bidi="ar-SA"/>
              </w:rPr>
              <w:t xml:space="preserve"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765"/>
              <w:ind w:left="57" w:right="57" w:firstLine="0"/>
              <w:jc w:val="both"/>
              <w:widowControl w:val="off"/>
              <w:rPr>
                <w:color w:val="auto"/>
              </w:rPr>
              <w:suppressLineNumbers/>
            </w:pPr>
            <w:r>
              <w:rPr>
                <w:rFonts w:cs="Times New Roman"/>
                <w:sz w:val="24"/>
              </w:rPr>
              <w:t xml:space="preserve">** </w:t>
            </w:r>
            <w:r>
              <w:rPr>
                <w:rFonts w:eastAsia="Calibri" w:cs="Calibri"/>
                <w:sz w:val="24"/>
                <w:lang w:eastAsia="zh-CN" w:bidi="ar-SA"/>
              </w:rPr>
              <w:t xml:space="preserve">Минимальный отступ от границ земельного участка между соседними жилыми домами имеющими общие боковые стены без проемов - 0 м.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65"/>
              <w:ind w:left="57" w:right="57" w:firstLine="0"/>
              <w:jc w:val="both"/>
              <w:widowControl w:val="off"/>
              <w:suppressLineNumbers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*** Предельные (максимальные и минимальные) площади земельных участков, предоставляемых лицам, указанным в частях 1 и 2 статьи 4.1 Закона Рязанской области</w:t>
              <w:br/>
              <w:t xml:space="preserve">от 30.11.2011 № 109-ОЗ «О бесп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латном предоставлении в собственность граждан земельных участков на территории Рязанской области» устанавливаются в соответствии с частью 1</w:t>
              <w:br/>
              <w:t xml:space="preserve">статьи 4.3 указанного Закона. Предельные минимальные площади земельных участков, предоставляемых лицам, указанным в </w:t>
            </w:r>
            <w:hyperlink r:id="rId11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2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 № 4301-1 «О статусе Героев Советского Союза, Героев Российской Федерации</w:t>
              <w:br/>
              <w:t xml:space="preserve">и полных кавалеров ордена Славы», устанавливаются в соответствии с пунктом 4 статьи 5 указанного закона».</w:t>
            </w:r>
            <w:r/>
          </w:p>
          <w:p>
            <w:pPr>
              <w:pStyle w:val="765"/>
              <w:ind w:left="57" w:right="57" w:firstLine="0"/>
              <w:jc w:val="both"/>
              <w:widowControl w:val="off"/>
              <w:suppressLineNumbers/>
            </w:pPr>
            <w:r>
              <w:rPr>
                <w:rFonts w:eastAsia="Calibri" w:cs="Times New Roman"/>
                <w:sz w:val="24"/>
                <w:lang w:eastAsia="zh-CN" w:bidi="ar-SA"/>
              </w:rPr>
              <w:t xml:space="preserve">*</w:t>
            </w:r>
            <w:r>
              <w:rPr>
                <w:rFonts w:eastAsia="Calibri" w:cs="Times New Roman"/>
                <w:sz w:val="24"/>
                <w:vertAlign w:val="superscript"/>
                <w:lang w:eastAsia="zh-CN" w:bidi="ar-SA"/>
              </w:rPr>
              <w:t xml:space="preserve">4</w:t>
            </w:r>
            <w:r>
              <w:rPr>
                <w:rFonts w:eastAsia="Calibri" w:cs="Times New Roman"/>
                <w:sz w:val="24"/>
                <w:lang w:eastAsia="zh-CN" w:bidi="ar-SA"/>
              </w:rPr>
              <w:t xml:space="preserve"> Предельная максимальная площадь земельных участков, предоставляемых лицам, указанным в </w:t>
            </w:r>
            <w:hyperlink r:id="rId13" w:tooltip="https://login.consultant.ru/link/?req=doc&amp;base=LAW&amp;n=477365&amp;dst=100138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пунктах 4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и </w:t>
            </w:r>
            <w:hyperlink r:id="rId14" w:tooltip="https://login.consultant.ru/link/?req=doc&amp;base=LAW&amp;n=477365&amp;dst=100139" w:history="1">
              <w:r>
                <w:rPr>
                  <w:rFonts w:eastAsia="Calibri" w:cs="Times New Roman"/>
                  <w:sz w:val="24"/>
                  <w:lang w:eastAsia="zh-CN" w:bidi="ar-SA"/>
                </w:rPr>
                <w:t xml:space="preserve">4.1 статьи 5</w:t>
              </w:r>
            </w:hyperlink>
            <w:r>
              <w:rPr>
                <w:rFonts w:eastAsia="Calibri" w:cs="Times New Roman"/>
                <w:sz w:val="24"/>
                <w:lang w:eastAsia="zh-CN" w:bidi="ar-SA"/>
              </w:rPr>
              <w:t xml:space="preserve"> Закона Российской Федерации от 15.01.1993</w:t>
              <w:br/>
              <w:t xml:space="preserve">№ 4301-1 «О статусе Героев Советского Союза, Героев Российской Федерации и полных кавалеров ордена Славы» - 5000 кв.м.»</w:t>
            </w:r>
            <w:r/>
          </w:p>
        </w:tc>
      </w:tr>
    </w:tbl>
    <w:p>
      <w:pPr>
        <w:pStyle w:val="690"/>
        <w:jc w:val="left"/>
        <w:spacing w:before="0" w:after="200" w:line="276" w:lineRule="auto"/>
        <w:widowControl/>
      </w:pPr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747" w:right="567" w:bottom="567" w:left="1134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contextualSpacing w:val="0"/>
      <w:ind w:firstLine="0"/>
      <w:jc w:val="center"/>
      <w:rPr>
        <w:rFonts w:ascii="Times New Roman" w:hAnsi="Times New Roman"/>
        <w:sz w:val="28"/>
        <w:szCs w:val="28"/>
      </w:rPr>
      <w:pBdr>
        <w:top w:val="none" w:color="000000" w:sz="4" w:space="14"/>
      </w:pBdr>
      <w:suppressLineNumbers w:val="0"/>
    </w:pP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yperlink"/>
    <w:uiPriority w:val="99"/>
    <w:unhideWhenUsed/>
    <w:rPr>
      <w:color w:val="0000ff" w:themeColor="hyperlink"/>
      <w:u w:val="single"/>
    </w:rPr>
  </w:style>
  <w:style w:type="character" w:styleId="687">
    <w:name w:val="footnote reference"/>
    <w:basedOn w:val="700"/>
    <w:uiPriority w:val="99"/>
    <w:unhideWhenUsed/>
    <w:rPr>
      <w:vertAlign w:val="superscript"/>
    </w:rPr>
  </w:style>
  <w:style w:type="character" w:styleId="688">
    <w:name w:val="endnote reference"/>
    <w:basedOn w:val="700"/>
    <w:uiPriority w:val="99"/>
    <w:semiHidden/>
    <w:unhideWhenUsed/>
    <w:rPr>
      <w:vertAlign w:val="superscript"/>
    </w:rPr>
  </w:style>
  <w:style w:type="paragraph" w:styleId="689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690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91">
    <w:name w:val="Heading 1"/>
    <w:basedOn w:val="690"/>
    <w:next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  <w:qFormat/>
  </w:style>
  <w:style w:type="character" w:styleId="701" w:customStyle="1">
    <w:name w:val="Heading 1 Char"/>
    <w:basedOn w:val="700"/>
    <w:uiPriority w:val="9"/>
    <w:qFormat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700"/>
    <w:uiPriority w:val="9"/>
    <w:qFormat/>
    <w:rPr>
      <w:rFonts w:ascii="Arial" w:hAnsi="Arial" w:eastAsia="Arial" w:cs="Arial"/>
      <w:sz w:val="34"/>
    </w:rPr>
  </w:style>
  <w:style w:type="character" w:styleId="703" w:customStyle="1">
    <w:name w:val="Heading 3 Char"/>
    <w:basedOn w:val="700"/>
    <w:uiPriority w:val="9"/>
    <w:qFormat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70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70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70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70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70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70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700"/>
    <w:uiPriority w:val="10"/>
    <w:qFormat/>
    <w:rPr>
      <w:sz w:val="48"/>
      <w:szCs w:val="48"/>
    </w:rPr>
  </w:style>
  <w:style w:type="character" w:styleId="711" w:customStyle="1">
    <w:name w:val="Subtitle Char"/>
    <w:basedOn w:val="700"/>
    <w:uiPriority w:val="11"/>
    <w:qFormat/>
    <w:rPr>
      <w:sz w:val="24"/>
      <w:szCs w:val="24"/>
    </w:rPr>
  </w:style>
  <w:style w:type="character" w:styleId="712" w:customStyle="1">
    <w:name w:val="Quote Char"/>
    <w:uiPriority w:val="29"/>
    <w:qFormat/>
    <w:rPr>
      <w:i/>
    </w:rPr>
  </w:style>
  <w:style w:type="character" w:styleId="713" w:customStyle="1">
    <w:name w:val="Intense Quote Char"/>
    <w:uiPriority w:val="30"/>
    <w:qFormat/>
    <w:rPr>
      <w:i/>
    </w:rPr>
  </w:style>
  <w:style w:type="character" w:styleId="714" w:customStyle="1">
    <w:name w:val="Header Char"/>
    <w:basedOn w:val="700"/>
    <w:uiPriority w:val="99"/>
    <w:qFormat/>
  </w:style>
  <w:style w:type="character" w:styleId="715" w:customStyle="1">
    <w:name w:val="Footer Char"/>
    <w:basedOn w:val="700"/>
    <w:uiPriority w:val="99"/>
    <w:qFormat/>
  </w:style>
  <w:style w:type="character" w:styleId="716" w:customStyle="1">
    <w:name w:val="Caption Char"/>
    <w:basedOn w:val="700"/>
    <w:uiPriority w:val="35"/>
    <w:qFormat/>
    <w:rPr>
      <w:b/>
      <w:bCs/>
      <w:color w:val="5b9bd5" w:themeColor="accent1"/>
      <w:sz w:val="18"/>
      <w:szCs w:val="18"/>
    </w:rPr>
  </w:style>
  <w:style w:type="character" w:styleId="717" w:customStyle="1">
    <w:name w:val="Footnote Text Char"/>
    <w:uiPriority w:val="99"/>
    <w:qFormat/>
    <w:rPr>
      <w:sz w:val="18"/>
    </w:rPr>
  </w:style>
  <w:style w:type="character" w:styleId="718" w:customStyle="1">
    <w:name w:val="Endnote Text Char"/>
    <w:uiPriority w:val="99"/>
    <w:qFormat/>
    <w:rPr>
      <w:sz w:val="20"/>
    </w:rPr>
  </w:style>
  <w:style w:type="character" w:styleId="719" w:customStyle="1">
    <w:name w:val="Заголовок 2 Знак"/>
    <w:link w:val="692"/>
    <w:uiPriority w:val="9"/>
    <w:qFormat/>
    <w:rPr>
      <w:rFonts w:ascii="Arial" w:hAnsi="Arial" w:eastAsia="Arial" w:cs="Arial"/>
      <w:sz w:val="34"/>
    </w:rPr>
  </w:style>
  <w:style w:type="character" w:styleId="720" w:customStyle="1">
    <w:name w:val="Заголовок 6 Знак"/>
    <w:link w:val="69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link w:val="69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link w:val="69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link w:val="69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Заголовок Знак"/>
    <w:uiPriority w:val="10"/>
    <w:qFormat/>
    <w:rPr>
      <w:sz w:val="48"/>
      <w:szCs w:val="48"/>
    </w:rPr>
  </w:style>
  <w:style w:type="character" w:styleId="725" w:customStyle="1">
    <w:name w:val="Подзаголовок Знак"/>
    <w:uiPriority w:val="11"/>
    <w:qFormat/>
    <w:rPr>
      <w:sz w:val="24"/>
      <w:szCs w:val="24"/>
    </w:rPr>
  </w:style>
  <w:style w:type="character" w:styleId="726" w:customStyle="1">
    <w:name w:val="Цитата 2 Знак"/>
    <w:link w:val="719"/>
    <w:uiPriority w:val="29"/>
    <w:qFormat/>
    <w:rPr>
      <w:i/>
    </w:rPr>
  </w:style>
  <w:style w:type="character" w:styleId="727" w:customStyle="1">
    <w:name w:val="Выделенная цитата Знак"/>
    <w:uiPriority w:val="30"/>
    <w:qFormat/>
    <w:rPr>
      <w:i/>
    </w:rPr>
  </w:style>
  <w:style w:type="character" w:styleId="728" w:customStyle="1">
    <w:name w:val="Верхний колонтитул Знак"/>
    <w:uiPriority w:val="99"/>
    <w:qFormat/>
  </w:style>
  <w:style w:type="character" w:styleId="729" w:customStyle="1">
    <w:name w:val="Нижний колонтитул Знак"/>
    <w:uiPriority w:val="99"/>
    <w:qFormat/>
  </w:style>
  <w:style w:type="character" w:styleId="730" w:customStyle="1">
    <w:name w:val="Название объекта Знак"/>
    <w:uiPriority w:val="35"/>
    <w:qFormat/>
    <w:rPr>
      <w:b/>
      <w:bCs/>
      <w:color w:val="5b9bd5" w:themeColor="accent1"/>
      <w:sz w:val="18"/>
      <w:szCs w:val="18"/>
    </w:rPr>
  </w:style>
  <w:style w:type="character" w:styleId="731">
    <w:name w:val="Интернет-ссылка"/>
    <w:uiPriority w:val="99"/>
    <w:unhideWhenUsed/>
    <w:rPr>
      <w:color w:val="0563c1" w:themeColor="hyperlink"/>
      <w:u w:val="single"/>
    </w:rPr>
  </w:style>
  <w:style w:type="character" w:styleId="732" w:customStyle="1">
    <w:name w:val="Текст сноски Знак"/>
    <w:uiPriority w:val="99"/>
    <w:qFormat/>
    <w:rPr>
      <w:sz w:val="18"/>
    </w:rPr>
  </w:style>
  <w:style w:type="character" w:styleId="733">
    <w:name w:val="Привязка сноски"/>
    <w:rPr>
      <w:vertAlign w:val="superscript"/>
    </w:rPr>
  </w:style>
  <w:style w:type="character" w:styleId="734">
    <w:name w:val="Footnote Characters"/>
    <w:uiPriority w:val="99"/>
    <w:unhideWhenUsed/>
    <w:qFormat/>
    <w:rPr>
      <w:vertAlign w:val="superscript"/>
    </w:rPr>
  </w:style>
  <w:style w:type="character" w:styleId="735" w:customStyle="1">
    <w:name w:val="Текст концевой сноски Знак"/>
    <w:uiPriority w:val="99"/>
    <w:qFormat/>
    <w:rPr>
      <w:sz w:val="20"/>
    </w:rPr>
  </w:style>
  <w:style w:type="character" w:styleId="736">
    <w:name w:val="Привязка концевой сноски"/>
    <w:rPr>
      <w:vertAlign w:val="superscript"/>
    </w:rPr>
  </w:style>
  <w:style w:type="character" w:styleId="737">
    <w:name w:val="Endnote Characters"/>
    <w:uiPriority w:val="99"/>
    <w:semiHidden/>
    <w:unhideWhenUsed/>
    <w:qFormat/>
    <w:rPr>
      <w:vertAlign w:val="superscript"/>
    </w:rPr>
  </w:style>
  <w:style w:type="paragraph" w:styleId="738">
    <w:name w:val="Заголовок"/>
    <w:basedOn w:val="690"/>
    <w:next w:val="73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39">
    <w:name w:val="Body Text"/>
    <w:basedOn w:val="690"/>
    <w:pPr>
      <w:spacing w:before="0" w:after="140" w:line="276" w:lineRule="auto"/>
    </w:pPr>
  </w:style>
  <w:style w:type="paragraph" w:styleId="740">
    <w:name w:val="List"/>
    <w:basedOn w:val="739"/>
    <w:rPr>
      <w:rFonts w:cs="Arial"/>
    </w:rPr>
  </w:style>
  <w:style w:type="paragraph" w:styleId="741">
    <w:name w:val="Caption"/>
    <w:basedOn w:val="690"/>
    <w:link w:val="716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42">
    <w:name w:val="Указатель"/>
    <w:basedOn w:val="690"/>
    <w:qFormat/>
    <w:pPr>
      <w:suppressLineNumbers/>
    </w:pPr>
    <w:rPr>
      <w:rFonts w:cs="Arial"/>
    </w:rPr>
  </w:style>
  <w:style w:type="paragraph" w:styleId="743">
    <w:name w:val="Title"/>
    <w:basedOn w:val="690"/>
    <w:next w:val="69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90"/>
    <w:next w:val="690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90"/>
    <w:next w:val="690"/>
    <w:link w:val="726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90"/>
    <w:next w:val="690"/>
    <w:uiPriority w:val="30"/>
    <w:qFormat/>
    <w:pPr>
      <w:ind w:left="720" w:right="720" w:firstLine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Верхний и нижний колонтитулы"/>
    <w:basedOn w:val="690"/>
    <w:qFormat/>
  </w:style>
  <w:style w:type="paragraph" w:styleId="748">
    <w:name w:val="Header"/>
    <w:basedOn w:val="69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49">
    <w:name w:val="Footer"/>
    <w:basedOn w:val="69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50">
    <w:name w:val="Caption"/>
    <w:basedOn w:val="690"/>
    <w:next w:val="690"/>
    <w:link w:val="71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751">
    <w:name w:val="footnote text"/>
    <w:basedOn w:val="69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2">
    <w:name w:val="endnote text"/>
    <w:basedOn w:val="69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3">
    <w:name w:val="toc 1"/>
    <w:basedOn w:val="690"/>
    <w:next w:val="690"/>
    <w:uiPriority w:val="39"/>
    <w:unhideWhenUsed/>
    <w:pPr>
      <w:spacing w:before="0" w:after="57"/>
    </w:pPr>
  </w:style>
  <w:style w:type="paragraph" w:styleId="754">
    <w:name w:val="toc 3"/>
    <w:basedOn w:val="690"/>
    <w:next w:val="690"/>
    <w:uiPriority w:val="39"/>
    <w:unhideWhenUsed/>
    <w:pPr>
      <w:ind w:left="567" w:firstLine="0"/>
      <w:spacing w:before="0" w:after="57"/>
    </w:pPr>
  </w:style>
  <w:style w:type="paragraph" w:styleId="755">
    <w:name w:val="toc 4"/>
    <w:basedOn w:val="690"/>
    <w:next w:val="690"/>
    <w:uiPriority w:val="39"/>
    <w:unhideWhenUsed/>
    <w:pPr>
      <w:ind w:left="850" w:firstLine="0"/>
      <w:spacing w:before="0" w:after="57"/>
    </w:pPr>
  </w:style>
  <w:style w:type="paragraph" w:styleId="756">
    <w:name w:val="toc 5"/>
    <w:basedOn w:val="690"/>
    <w:next w:val="690"/>
    <w:uiPriority w:val="39"/>
    <w:unhideWhenUsed/>
    <w:pPr>
      <w:ind w:left="1134" w:firstLine="0"/>
      <w:spacing w:before="0" w:after="57"/>
    </w:pPr>
  </w:style>
  <w:style w:type="paragraph" w:styleId="757">
    <w:name w:val="toc 6"/>
    <w:basedOn w:val="690"/>
    <w:next w:val="690"/>
    <w:uiPriority w:val="39"/>
    <w:unhideWhenUsed/>
    <w:pPr>
      <w:ind w:left="1417" w:firstLine="0"/>
      <w:spacing w:before="0" w:after="57"/>
    </w:pPr>
  </w:style>
  <w:style w:type="paragraph" w:styleId="758">
    <w:name w:val="toc 7"/>
    <w:basedOn w:val="690"/>
    <w:next w:val="690"/>
    <w:uiPriority w:val="39"/>
    <w:unhideWhenUsed/>
    <w:pPr>
      <w:ind w:left="1701" w:firstLine="0"/>
      <w:spacing w:before="0" w:after="57"/>
    </w:pPr>
  </w:style>
  <w:style w:type="paragraph" w:styleId="759">
    <w:name w:val="toc 8"/>
    <w:basedOn w:val="690"/>
    <w:next w:val="690"/>
    <w:uiPriority w:val="39"/>
    <w:unhideWhenUsed/>
    <w:pPr>
      <w:ind w:left="1984" w:firstLine="0"/>
      <w:spacing w:before="0" w:after="57"/>
    </w:pPr>
  </w:style>
  <w:style w:type="paragraph" w:styleId="760">
    <w:name w:val="toc 9"/>
    <w:basedOn w:val="690"/>
    <w:next w:val="690"/>
    <w:uiPriority w:val="39"/>
    <w:unhideWhenUsed/>
    <w:pPr>
      <w:ind w:left="2268" w:firstLine="0"/>
      <w:spacing w:before="0" w:after="57"/>
    </w:pPr>
  </w:style>
  <w:style w:type="paragraph" w:styleId="761">
    <w:name w:val="TOC Heading"/>
    <w:uiPriority w:val="39"/>
    <w:unhideWhenUsed/>
    <w:qFormat/>
    <w:pPr>
      <w:jc w:val="left"/>
      <w:spacing w:before="0" w:after="20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62">
    <w:name w:val="table of figures"/>
    <w:basedOn w:val="690"/>
    <w:next w:val="690"/>
    <w:uiPriority w:val="99"/>
    <w:unhideWhenUsed/>
    <w:qFormat/>
    <w:pPr>
      <w:spacing w:before="0" w:after="0"/>
    </w:pPr>
  </w:style>
  <w:style w:type="paragraph" w:styleId="763">
    <w:name w:val="No Spacing"/>
    <w:basedOn w:val="690"/>
    <w:uiPriority w:val="1"/>
    <w:qFormat/>
    <w:pPr>
      <w:spacing w:before="0" w:after="0" w:line="240" w:lineRule="auto"/>
    </w:pPr>
  </w:style>
  <w:style w:type="paragraph" w:styleId="764">
    <w:name w:val="List Paragraph"/>
    <w:basedOn w:val="690"/>
    <w:uiPriority w:val="34"/>
    <w:qFormat/>
    <w:pPr>
      <w:contextualSpacing/>
      <w:ind w:left="720" w:firstLine="0"/>
      <w:spacing w:before="0" w:after="200"/>
    </w:pPr>
  </w:style>
  <w:style w:type="paragraph" w:styleId="765" w:customStyle="1">
    <w:name w:val="Основной текст1"/>
    <w:qFormat/>
    <w:pPr>
      <w:ind w:firstLine="709"/>
      <w:jc w:val="left"/>
      <w:spacing w:before="0" w:after="0" w:line="240" w:lineRule="auto"/>
      <w:widowControl w:val="off"/>
    </w:pPr>
    <w:rPr>
      <w:rFonts w:ascii="Times New Roman" w:hAnsi="Times New Roman" w:eastAsia="Tahoma" w:cs="Liberation Serif"/>
      <w:color w:val="000000"/>
      <w:sz w:val="28"/>
      <w:szCs w:val="24"/>
      <w:lang w:val="ru-RU" w:eastAsia="ru-RU" w:bidi="hi-IN"/>
    </w:rPr>
  </w:style>
  <w:style w:type="paragraph" w:styleId="766" w:customStyle="1">
    <w:name w:val="Содержимое таблицы"/>
    <w:qFormat/>
    <w:pPr>
      <w:ind w:left="28" w:firstLine="0"/>
      <w:jc w:val="left"/>
      <w:spacing w:before="100" w:after="100" w:line="240" w:lineRule="auto"/>
      <w:widowControl w:val="off"/>
      <w:suppressLineNumbers/>
    </w:pPr>
    <w:rPr>
      <w:rFonts w:ascii="Times New Roman" w:hAnsi="Times New Roman" w:eastAsia="Tahoma" w:cs="Liberation Serif"/>
      <w:color w:val="000000"/>
      <w:sz w:val="24"/>
      <w:szCs w:val="24"/>
      <w:lang w:val="ru-RU" w:eastAsia="ru-RU" w:bidi="hi-IN"/>
    </w:rPr>
  </w:style>
  <w:style w:type="numbering" w:styleId="767" w:default="1">
    <w:name w:val="No List"/>
    <w:uiPriority w:val="99"/>
    <w:semiHidden/>
    <w:unhideWhenUsed/>
    <w:qFormat/>
  </w:style>
  <w:style w:type="table" w:styleId="76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"/>
    <w:basedOn w:val="7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0" w:customStyle="1">
    <w:name w:val="Table Grid Light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1">
    <w:name w:val="Plain Table 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2">
    <w:name w:val="Plain Table 2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3">
    <w:name w:val="Plain Table 3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sz="4" w:space="0"/>
        </w:tcBorders>
      </w:tcPr>
    </w:tblStylePr>
  </w:style>
  <w:style w:type="table" w:styleId="799" w:customStyle="1">
    <w:name w:val="Grid Table 4 - Accent 2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sz="4" w:space="0"/>
        </w:tcBorders>
      </w:tcPr>
    </w:tblStylePr>
  </w:style>
  <w:style w:type="table" w:styleId="800" w:customStyle="1">
    <w:name w:val="Grid Table 4 - Accent 3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01" w:customStyle="1">
    <w:name w:val="Grid Table 4 - Accent 4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sz="4" w:space="0"/>
        </w:tcBorders>
      </w:tcPr>
    </w:tblStylePr>
  </w:style>
  <w:style w:type="table" w:styleId="802" w:customStyle="1">
    <w:name w:val="Grid Table 4 - Accent 5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3" w:customStyle="1">
    <w:name w:val="Grid Table 4 - Accent 6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4">
    <w:name w:val="Grid Table 5 Dark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811">
    <w:name w:val="Grid Table 6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3" w:customStyle="1">
    <w:name w:val="Grid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4" w:customStyle="1">
    <w:name w:val="Grid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5" w:customStyle="1">
    <w:name w:val="Grid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6" w:customStyle="1">
    <w:name w:val="Grid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7" w:customStyle="1">
    <w:name w:val="Grid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>
    <w:name w:val="Grid Table 7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auto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auto" w:fill="auto"/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auto" w:fill="auto"/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39">
    <w:name w:val="List Table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5 Dark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5" w:customStyle="1">
    <w:name w:val="List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6" w:customStyle="1">
    <w:name w:val="List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7" w:customStyle="1">
    <w:name w:val="List Table 5 Dark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 w:customStyle="1">
    <w:name w:val="List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9" w:customStyle="1">
    <w:name w:val="List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0">
    <w:name w:val="List Table 6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61" w:customStyle="1">
    <w:name w:val="List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2" w:customStyle="1">
    <w:name w:val="List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863" w:customStyle="1">
    <w:name w:val="List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864" w:customStyle="1">
    <w:name w:val="List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865" w:customStyle="1">
    <w:name w:val="List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866" w:customStyle="1">
    <w:name w:val="List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867">
    <w:name w:val="List Table 7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auto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auto" w:fill="auto"/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auto" w:fill="auto"/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auto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auto" w:fill="auto"/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75" w:customStyle="1">
    <w:name w:val="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76" w:customStyle="1">
    <w:name w:val="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77" w:customStyle="1">
    <w:name w:val="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78" w:customStyle="1">
    <w:name w:val="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79" w:customStyle="1">
    <w:name w:val="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80" w:customStyle="1">
    <w:name w:val="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81" w:customStyle="1">
    <w:name w:val="Bordered &amp; 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82" w:customStyle="1">
    <w:name w:val="Bordered &amp; 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83" w:customStyle="1">
    <w:name w:val="Bordered &amp; 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84" w:customStyle="1">
    <w:name w:val="Bordered &amp; 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85" w:customStyle="1">
    <w:name w:val="Bordered &amp; 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86" w:customStyle="1">
    <w:name w:val="Bordered &amp; 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87" w:customStyle="1">
    <w:name w:val="Bordered &amp; 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88" w:customStyle="1">
    <w:name w:val="Bordered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889" w:customStyle="1">
    <w:name w:val="Bordered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0" w:customStyle="1">
    <w:name w:val="Bordered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891" w:customStyle="1">
    <w:name w:val="Bordered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892" w:customStyle="1">
    <w:name w:val="Bordered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893" w:customStyle="1">
    <w:name w:val="Bordered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894" w:customStyle="1">
    <w:name w:val="Bordered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9D08E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hyperlink" Target="https://login.consultant.ru/link/?req=doc&amp;base=LAW&amp;n=477365&amp;dst=100138" TargetMode="External"/><Relationship Id="rId12" Type="http://schemas.openxmlformats.org/officeDocument/2006/relationships/hyperlink" Target="https://login.consultant.ru/link/?req=doc&amp;base=LAW&amp;n=477365&amp;dst=100139" TargetMode="External"/><Relationship Id="rId13" Type="http://schemas.openxmlformats.org/officeDocument/2006/relationships/hyperlink" Target="https://login.consultant.ru/link/?req=doc&amp;base=LAW&amp;n=477365&amp;dst=100138" TargetMode="External"/><Relationship Id="rId14" Type="http://schemas.openxmlformats.org/officeDocument/2006/relationships/hyperlink" Target="https://login.consultant.ru/link/?req=doc&amp;base=LAW&amp;n=477365&amp;dst=10013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sek</cp:lastModifiedBy>
  <cp:revision>14</cp:revision>
  <dcterms:created xsi:type="dcterms:W3CDTF">2025-06-18T16:22:00Z</dcterms:created>
  <dcterms:modified xsi:type="dcterms:W3CDTF">2025-09-25T12:30:20Z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