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19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9.2025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№ 470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/>
          <w:color w:val="000000"/>
          <w:sz w:val="26"/>
          <w:szCs w:val="28"/>
          <w:shd w:val="clear" w:fill="FFFFFF" w:color="FFFFFF"/>
        </w:rPr>
        <w:t xml:space="preserve">ООО «МФЗ «Альянс»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  <w:t xml:space="preserve">.</w:t>
      </w:r>
      <w:r>
        <w:rPr>
          <w:sz w:val="26"/>
        </w:rPr>
      </w:r>
      <w:r/>
    </w:p>
    <w:p>
      <w:pPr>
        <w:pStyle w:val="468"/>
        <w:ind w:left="-567" w:right="-284" w:firstLine="0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«23» сентября 2025 г.</w:t>
        <w:br/>
        <w:t xml:space="preserve">по «08» октября 2025 г.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.09.2025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Придорожного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от 24.09.2025 г.).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следующему адресу (ориентиру):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Сасовский муниципальный округ, с. Боковой Майдан, ул. Центральная (около д. 14)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(посещение с «24» сентября 2025 г. по 12:15 час. «01» октября 2025 г.).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none"/>
          <w:u w:val="single"/>
        </w:rPr>
      </w:pPr>
      <w:r>
        <w:rPr>
          <w:sz w:val="26"/>
          <w:szCs w:val="26"/>
          <w:highlight w:val="none"/>
          <w:u w:val="single"/>
        </w:rPr>
      </w:r>
      <w:r>
        <w:rPr>
          <w:sz w:val="26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none"/>
          <w:u w:val="single"/>
        </w:rPr>
      </w:pPr>
      <w:r>
        <w:rPr>
          <w:b/>
          <w:bCs/>
          <w:sz w:val="26"/>
          <w:szCs w:val="26"/>
          <w:highlight w:val="none"/>
          <w:u w:val="single"/>
        </w:rPr>
        <w:t xml:space="preserve">01.10.2025</w:t>
      </w:r>
      <w:r>
        <w:rPr>
          <w:sz w:val="26"/>
          <w:szCs w:val="26"/>
          <w:highlight w:val="none"/>
          <w:u w:val="single"/>
        </w:rPr>
        <w:t xml:space="preserve">:</w:t>
      </w:r>
      <w:r>
        <w:rPr>
          <w:sz w:val="26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 с 12:00 час. по 12:15 час. по адресу (ориентиру): Рязанская область, Сасовский муниципальный округ, с. Боковой Майдан, ул. Центральная (около д. 14).</w:t>
      </w:r>
      <w:r>
        <w:rPr>
          <w:sz w:val="26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с «24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01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октября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в рабочие дни</w:t>
      </w:r>
      <w:r>
        <w:rPr>
          <w:sz w:val="26"/>
          <w:szCs w:val="27"/>
        </w:rPr>
        <w:t xml:space="preserve"> по телефону </w:t>
      </w:r>
      <w:r>
        <w:rPr>
          <w:b/>
          <w:color w:val="000000" w:themeColor="text1"/>
          <w:sz w:val="26"/>
          <w:szCs w:val="27"/>
          <w:lang w:eastAsia="en-US"/>
        </w:rPr>
        <w:t xml:space="preserve">(4912) 97-19-90 доб. 260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/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contextualSpacing w:val="false"/>
        <w:ind w:left="-567" w:right="0" w:firstLine="0"/>
        <w:jc w:val="both"/>
        <w:spacing w:lineRule="auto" w:line="276" w:after="0" w:before="0"/>
        <w:widowControl/>
        <w:rPr>
          <w:rFonts w:cs="Times New Roman" w:eastAsia="Times New Roman"/>
          <w:b/>
          <w:bCs/>
          <w:color w:val="000000"/>
          <w:sz w:val="26"/>
          <w:szCs w:val="28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sz w:val="26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sz w:val="26"/>
          <w:szCs w:val="26"/>
        </w:rPr>
        <w:suppressLineNumbers w:val="0"/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01»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октябрь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01»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октябрь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, с 09:00 час. по 17:00 час.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01»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октябрь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01»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октябрь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).</w:t>
      </w:r>
      <w:r>
        <w:rPr>
          <w:sz w:val="26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4"/>
        </w:rPr>
      </w:pPr>
      <w:r>
        <w:rPr>
          <w:rFonts w:cs="Times New Roman" w:eastAsia="Times New Roman"/>
          <w:b/>
          <w:color w:val="000000" w:themeColor="text1"/>
          <w:sz w:val="26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4"/>
        </w:rPr>
      </w:pPr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111</cp:revision>
  <dcterms:created xsi:type="dcterms:W3CDTF">2024-05-31T06:53:00Z</dcterms:created>
  <dcterms:modified xsi:type="dcterms:W3CDTF">2025-09-23T07:15:04Z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