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B9" w:rsidRDefault="0022643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7B9" w:rsidRDefault="0022643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357B9" w:rsidRDefault="0022643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357B9" w:rsidRDefault="006357B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357B9" w:rsidRDefault="006357B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357B9" w:rsidRDefault="0022643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357B9" w:rsidRDefault="006357B9">
      <w:pPr>
        <w:tabs>
          <w:tab w:val="left" w:pos="709"/>
        </w:tabs>
        <w:jc w:val="center"/>
        <w:rPr>
          <w:sz w:val="28"/>
        </w:rPr>
      </w:pPr>
    </w:p>
    <w:p w:rsidR="006357B9" w:rsidRDefault="006357B9">
      <w:pPr>
        <w:tabs>
          <w:tab w:val="left" w:pos="709"/>
        </w:tabs>
        <w:jc w:val="center"/>
        <w:rPr>
          <w:sz w:val="28"/>
        </w:rPr>
      </w:pPr>
    </w:p>
    <w:p w:rsidR="006357B9" w:rsidRDefault="0022643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40372">
        <w:rPr>
          <w:sz w:val="28"/>
        </w:rPr>
        <w:t>11</w:t>
      </w:r>
      <w:r>
        <w:rPr>
          <w:sz w:val="28"/>
        </w:rPr>
        <w:t>»</w:t>
      </w:r>
      <w:r w:rsidR="00C40372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</w:t>
      </w:r>
      <w:r w:rsidR="00C40372">
        <w:rPr>
          <w:sz w:val="28"/>
        </w:rPr>
        <w:t xml:space="preserve">                 </w:t>
      </w:r>
      <w:r>
        <w:rPr>
          <w:sz w:val="28"/>
        </w:rPr>
        <w:t xml:space="preserve">  № </w:t>
      </w:r>
      <w:r w:rsidR="00C40372">
        <w:rPr>
          <w:sz w:val="28"/>
        </w:rPr>
        <w:t>781-п</w:t>
      </w:r>
    </w:p>
    <w:p w:rsidR="006357B9" w:rsidRDefault="006357B9">
      <w:pPr>
        <w:tabs>
          <w:tab w:val="left" w:pos="709"/>
        </w:tabs>
        <w:jc w:val="both"/>
        <w:rPr>
          <w:sz w:val="28"/>
        </w:rPr>
      </w:pPr>
    </w:p>
    <w:p w:rsidR="006357B9" w:rsidRDefault="006357B9">
      <w:pPr>
        <w:tabs>
          <w:tab w:val="left" w:pos="709"/>
        </w:tabs>
        <w:jc w:val="both"/>
        <w:rPr>
          <w:sz w:val="28"/>
        </w:rPr>
      </w:pPr>
    </w:p>
    <w:p w:rsidR="006357B9" w:rsidRDefault="0022643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Калининское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Ухоловского муниципального района Рязанской области</w:t>
      </w:r>
    </w:p>
    <w:bookmarkEnd w:id="0"/>
    <w:p w:rsidR="006357B9" w:rsidRDefault="006357B9">
      <w:pPr>
        <w:tabs>
          <w:tab w:val="left" w:pos="709"/>
        </w:tabs>
        <w:jc w:val="both"/>
        <w:rPr>
          <w:color w:val="auto"/>
          <w:sz w:val="28"/>
        </w:rPr>
      </w:pPr>
    </w:p>
    <w:p w:rsidR="006357B9" w:rsidRDefault="0022643E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Рязан</w:t>
      </w:r>
      <w:r>
        <w:rPr>
          <w:sz w:val="28"/>
        </w:rPr>
        <w:t xml:space="preserve">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14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.08.2025</w:t>
        </w:r>
      </w:hyperlink>
      <w:r>
        <w:rPr>
          <w:sz w:val="28"/>
          <w:shd w:val="clear" w:color="FFFFFF" w:fill="FFFFFF" w:themeFill="background1"/>
        </w:rPr>
        <w:t xml:space="preserve"> № 01-14/2982/25,</w:t>
      </w:r>
      <w:r>
        <w:rPr>
          <w:color w:val="auto"/>
          <w:sz w:val="28"/>
        </w:rPr>
        <w:t xml:space="preserve"> от 18.08.2025 № 01-14/3016/25, от 21.08.2025 № 01-14/3069/25,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</w:t>
      </w:r>
      <w:r>
        <w:rPr>
          <w:color w:val="auto"/>
          <w:sz w:val="28"/>
          <w:szCs w:val="28"/>
        </w:rPr>
        <w:t>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</w:t>
      </w:r>
      <w:r>
        <w:rPr>
          <w:color w:val="000000" w:themeColor="text1"/>
          <w:sz w:val="28"/>
          <w:szCs w:val="28"/>
        </w:rPr>
        <w:t>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6357B9" w:rsidRDefault="0022643E" w:rsidP="002264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Калининское сельское</w:t>
      </w:r>
      <w:r>
        <w:rPr>
          <w:color w:val="auto"/>
          <w:sz w:val="28"/>
          <w:szCs w:val="28"/>
        </w:rPr>
        <w:t xml:space="preserve"> поселение Ухоловского муниципального района</w:t>
      </w:r>
      <w:r>
        <w:rPr>
          <w:sz w:val="28"/>
          <w:highlight w:val="white"/>
        </w:rPr>
        <w:t xml:space="preserve"> Рязанской области, утвержденные решени</w:t>
      </w:r>
      <w:r>
        <w:rPr>
          <w:sz w:val="28"/>
          <w:highlight w:val="white"/>
        </w:rPr>
        <w:t>ем Ухоловской районной Думы Рязанской области от 16.06.2016 № 260 «Об утверждении Правил землепользования и застройки Калининского сельского поселения Ухоловского муниципального района Рязанской области» (в редакции решений Ухоловской районной Думы Рязанск</w:t>
      </w:r>
      <w:r>
        <w:rPr>
          <w:sz w:val="28"/>
          <w:highlight w:val="white"/>
        </w:rPr>
        <w:t>ой области от 29.1</w:t>
      </w:r>
      <w:r>
        <w:rPr>
          <w:color w:val="auto"/>
          <w:sz w:val="28"/>
          <w:highlight w:val="white"/>
        </w:rPr>
        <w:t xml:space="preserve">2.2016 № 320, от 04.04.2018 № 17, </w:t>
      </w:r>
      <w:r>
        <w:rPr>
          <w:color w:val="auto"/>
          <w:sz w:val="28"/>
          <w:szCs w:val="27"/>
          <w:shd w:val="clear" w:color="FFFFFF" w:fill="FFFFFF" w:themeFill="background1"/>
        </w:rPr>
        <w:t>постановлений Главархитектуры Рязанской области от 14.04.2025 №</w:t>
      </w:r>
      <w:r>
        <w:rPr>
          <w:color w:val="auto"/>
          <w:sz w:val="28"/>
        </w:rPr>
        <w:t xml:space="preserve"> 277-п </w:t>
      </w:r>
      <w:r>
        <w:rPr>
          <w:color w:val="auto"/>
          <w:sz w:val="28"/>
        </w:rPr>
        <w:br/>
        <w:t>(ред. 08.09.2025), от 30.06.2025 № 524-п, от 01.08.2025 № 612-п)</w:t>
      </w:r>
      <w:r>
        <w:rPr>
          <w:color w:val="auto"/>
          <w:sz w:val="28"/>
        </w:rPr>
        <w:t>, следующие изменения</w:t>
      </w:r>
      <w:r>
        <w:rPr>
          <w:color w:val="auto"/>
          <w:sz w:val="28"/>
        </w:rPr>
        <w:t>:</w:t>
      </w:r>
    </w:p>
    <w:p w:rsidR="006357B9" w:rsidRDefault="0022643E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1) графическое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«Ж1 Зона застройки индивидуальными жилыми домами (населенный пункт </w:t>
      </w:r>
      <w:r>
        <w:rPr>
          <w:color w:val="auto"/>
          <w:sz w:val="28"/>
        </w:rPr>
        <w:br/>
        <w:t>с. Александровка)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6357B9" w:rsidRDefault="0022643E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lastRenderedPageBreak/>
        <w:t xml:space="preserve">2) графическое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</w:t>
      </w:r>
      <w:r>
        <w:rPr>
          <w:color w:val="auto"/>
          <w:sz w:val="28"/>
          <w:szCs w:val="28"/>
        </w:rPr>
        <w:t>ны</w:t>
      </w:r>
      <w:r>
        <w:rPr>
          <w:color w:val="auto"/>
          <w:sz w:val="28"/>
        </w:rPr>
        <w:t xml:space="preserve"> «Ж1 Зона застройки индивидуальными жилыми домами (населенный пункт </w:t>
      </w:r>
      <w:r>
        <w:rPr>
          <w:color w:val="auto"/>
          <w:sz w:val="28"/>
        </w:rPr>
        <w:br/>
        <w:t>с. Дегтяные Борки)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6357B9" w:rsidRDefault="0022643E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3) графическое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«</w:t>
      </w:r>
      <w:r>
        <w:rPr>
          <w:color w:val="auto"/>
          <w:sz w:val="28"/>
        </w:rPr>
        <w:t xml:space="preserve">Ж1 Зона застройки индивидуальными жилыми домами (населенный пункт </w:t>
      </w:r>
      <w:r>
        <w:rPr>
          <w:color w:val="auto"/>
          <w:sz w:val="28"/>
        </w:rPr>
        <w:br/>
        <w:t>д. Поляки)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согласно приложению № 3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6357B9" w:rsidRDefault="0022643E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4) графическое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>«Р Зона рекреационного назначения (населенный пу</w:t>
      </w:r>
      <w:r>
        <w:rPr>
          <w:color w:val="auto"/>
          <w:sz w:val="28"/>
        </w:rPr>
        <w:t>нкт с. Дегтяные Борки)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согласно приложению № 4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6357B9" w:rsidRDefault="0022643E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5) графическое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>«Т Зона транспортной инфраструктуры (населенный пункт с. Александровка)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изложить согласно приложе</w:t>
      </w:r>
      <w:r>
        <w:rPr>
          <w:color w:val="auto"/>
          <w:sz w:val="28"/>
          <w:szCs w:val="28"/>
        </w:rPr>
        <w:t xml:space="preserve">нию № 5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6357B9" w:rsidRDefault="0022643E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6) графическое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>«Т Зона транспортной инфраструктуры (населенный пункт д. Поляки)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согласно приложению № 6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6357B9" w:rsidRDefault="0022643E">
      <w:pPr>
        <w:pStyle w:val="aa"/>
        <w:widowControl w:val="0"/>
        <w:tabs>
          <w:tab w:val="left" w:pos="0"/>
          <w:tab w:val="left" w:pos="850"/>
          <w:tab w:val="left" w:pos="7228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7)</w:t>
      </w:r>
      <w:r>
        <w:rPr>
          <w:color w:val="auto"/>
          <w:sz w:val="4"/>
          <w:szCs w:val="4"/>
        </w:rPr>
        <w:t xml:space="preserve"> </w:t>
      </w:r>
      <w:r>
        <w:rPr>
          <w:color w:val="auto"/>
          <w:sz w:val="28"/>
        </w:rPr>
        <w:t xml:space="preserve"> графическое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«</w:t>
      </w:r>
      <w:r>
        <w:rPr>
          <w:color w:val="auto"/>
          <w:sz w:val="28"/>
          <w:lang w:val="en-US"/>
        </w:rPr>
        <w:t>O</w:t>
      </w:r>
      <w:r>
        <w:rPr>
          <w:color w:val="auto"/>
          <w:sz w:val="28"/>
        </w:rPr>
        <w:t>1 Зона делового, общественного и коммерческого назначения (населенный пункт с. Дегтяные Борки)</w:t>
      </w:r>
      <w:r>
        <w:rPr>
          <w:color w:val="auto"/>
          <w:sz w:val="28"/>
          <w:szCs w:val="28"/>
        </w:rPr>
        <w:t xml:space="preserve">» изложить </w:t>
      </w:r>
      <w:r>
        <w:rPr>
          <w:color w:val="auto"/>
          <w:sz w:val="28"/>
          <w:szCs w:val="28"/>
        </w:rPr>
        <w:t>согласно приложению № 7</w:t>
      </w:r>
      <w:r>
        <w:rPr>
          <w:color w:val="auto"/>
          <w:sz w:val="28"/>
          <w:szCs w:val="27"/>
        </w:rPr>
        <w:t xml:space="preserve"> 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6357B9" w:rsidRDefault="0022643E" w:rsidP="002264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</w:t>
        </w:r>
        <w:r>
          <w:rPr>
            <w:color w:val="000000" w:themeColor="text1"/>
            <w:sz w:val="28"/>
            <w:szCs w:val="28"/>
          </w:rPr>
          <w:t>е вступает в силу со дня его официального опубликования.</w:t>
        </w:r>
      </w:hyperlink>
    </w:p>
    <w:p w:rsidR="006357B9" w:rsidRDefault="0022643E" w:rsidP="002264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Калининское сельское поселение Ухоловского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</w:t>
      </w:r>
      <w:r>
        <w:rPr>
          <w:color w:val="000000" w:themeColor="text1"/>
          <w:sz w:val="28"/>
          <w:szCs w:val="28"/>
        </w:rPr>
        <w:t xml:space="preserve">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6357B9" w:rsidRDefault="0022643E" w:rsidP="002264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6357B9" w:rsidRDefault="0022643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C403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</w:t>
      </w:r>
      <w:r>
        <w:rPr>
          <w:rFonts w:ascii="Times New Roman" w:hAnsi="Times New Roman"/>
          <w:color w:val="000000" w:themeColor="text1"/>
          <w:sz w:val="28"/>
          <w:szCs w:val="28"/>
        </w:rPr>
        <w:t>тора и Правительства Рязанской области;</w:t>
      </w:r>
    </w:p>
    <w:p w:rsidR="006357B9" w:rsidRDefault="0022643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6357B9" w:rsidRDefault="0022643E" w:rsidP="002264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</w:t>
      </w:r>
      <w:r>
        <w:rPr>
          <w:color w:val="000000" w:themeColor="text1"/>
          <w:sz w:val="28"/>
          <w:szCs w:val="28"/>
        </w:rPr>
        <w:t>троительной</w:t>
      </w:r>
      <w:r w:rsidRPr="00C403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C4037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6357B9" w:rsidRDefault="0022643E" w:rsidP="002264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Ухоловский</w:t>
      </w:r>
      <w:r>
        <w:rPr>
          <w:color w:val="000000" w:themeColor="text1"/>
          <w:sz w:val="28"/>
          <w:szCs w:val="28"/>
        </w:rPr>
        <w:t xml:space="preserve"> муниципальны</w:t>
      </w:r>
      <w:r>
        <w:rPr>
          <w:color w:val="000000" w:themeColor="text1"/>
          <w:sz w:val="28"/>
          <w:szCs w:val="28"/>
        </w:rPr>
        <w:t xml:space="preserve">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lastRenderedPageBreak/>
        <w:t>Калининское сельское поселение Ухоловского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</w:t>
      </w:r>
      <w:r>
        <w:rPr>
          <w:color w:val="000000" w:themeColor="text1"/>
          <w:sz w:val="28"/>
          <w:szCs w:val="28"/>
        </w:rPr>
        <w:t>», публикацию в средствах массовой информации.</w:t>
      </w:r>
    </w:p>
    <w:p w:rsidR="006357B9" w:rsidRDefault="0022643E" w:rsidP="0022643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6357B9" w:rsidRDefault="006357B9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6357B9" w:rsidRDefault="006357B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357B9" w:rsidRDefault="0022643E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6357B9" w:rsidRDefault="006357B9">
      <w:pPr>
        <w:tabs>
          <w:tab w:val="left" w:pos="709"/>
        </w:tabs>
        <w:jc w:val="both"/>
        <w:rPr>
          <w:color w:val="FF0000"/>
          <w:sz w:val="28"/>
        </w:rPr>
        <w:sectPr w:rsidR="006357B9">
          <w:headerReference w:type="default" r:id="rId10"/>
          <w:footerReference w:type="first" r:id="rId11"/>
          <w:pgSz w:w="11906" w:h="16838"/>
          <w:pgMar w:top="1077" w:right="567" w:bottom="1077" w:left="1417" w:header="709" w:footer="0" w:gutter="0"/>
          <w:cols w:space="1701"/>
          <w:titlePg/>
          <w:docGrid w:linePitch="360"/>
        </w:sect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6357B9" w:rsidRDefault="0022643E">
      <w:pPr>
        <w:spacing w:line="216" w:lineRule="auto"/>
        <w:ind w:firstLine="709"/>
        <w:contextualSpacing/>
        <w:jc w:val="both"/>
        <w:rPr>
          <w:color w:val="auto"/>
          <w:sz w:val="24"/>
        </w:rPr>
      </w:pPr>
      <w:r>
        <w:rPr>
          <w:color w:val="auto"/>
          <w:sz w:val="24"/>
        </w:rPr>
        <w:t>Рассылка: отдел градостроительного регулирования, отдел информационного обеспечения градостроительной деятельности, отдел кадровой работы и</w:t>
      </w:r>
      <w:r>
        <w:rPr>
          <w:color w:val="auto"/>
        </w:rPr>
        <w:t xml:space="preserve"> </w:t>
      </w:r>
      <w:r>
        <w:rPr>
          <w:color w:val="auto"/>
          <w:sz w:val="24"/>
        </w:rPr>
        <w:t>делопроизводства главного управления архитектуры и градостроительства Рязанской области, ГКУ РО «Центр град</w:t>
      </w:r>
      <w:r>
        <w:rPr>
          <w:color w:val="auto"/>
          <w:sz w:val="24"/>
        </w:rPr>
        <w:t>остроительного развития Рязанской области», Управление Минюста России по Рязанской области, Прокуратура Рязанской области, глава муниципального образования – Ухоловский муниципальный р</w:t>
      </w:r>
      <w:r>
        <w:rPr>
          <w:color w:val="auto"/>
          <w:sz w:val="24"/>
          <w:szCs w:val="24"/>
        </w:rPr>
        <w:t>айон Рязанской области, глава муниципального образования – Калининское с</w:t>
      </w:r>
      <w:r>
        <w:rPr>
          <w:color w:val="auto"/>
          <w:sz w:val="24"/>
          <w:szCs w:val="24"/>
        </w:rPr>
        <w:t>ельское поселение Ухоловского му</w:t>
      </w:r>
      <w:r>
        <w:rPr>
          <w:sz w:val="24"/>
        </w:rPr>
        <w:t>ниципального района Рязанской области</w:t>
      </w:r>
      <w:r>
        <w:rPr>
          <w:color w:val="auto"/>
          <w:sz w:val="24"/>
          <w:szCs w:val="24"/>
        </w:rPr>
        <w:t>, в д</w:t>
      </w:r>
      <w:r>
        <w:rPr>
          <w:color w:val="auto"/>
          <w:sz w:val="24"/>
        </w:rPr>
        <w:t>ело.</w:t>
      </w:r>
    </w:p>
    <w:p w:rsidR="006357B9" w:rsidRDefault="006357B9">
      <w:pPr>
        <w:spacing w:line="216" w:lineRule="auto"/>
        <w:ind w:firstLine="709"/>
        <w:contextualSpacing/>
        <w:jc w:val="both"/>
        <w:rPr>
          <w:color w:val="auto"/>
          <w:sz w:val="24"/>
        </w:rPr>
      </w:pPr>
    </w:p>
    <w:p w:rsidR="006357B9" w:rsidRDefault="0022643E">
      <w:pPr>
        <w:spacing w:line="216" w:lineRule="auto"/>
        <w:ind w:firstLine="709"/>
        <w:contextualSpacing/>
        <w:jc w:val="both"/>
        <w:rPr>
          <w:color w:val="auto"/>
          <w:sz w:val="24"/>
        </w:rPr>
      </w:pPr>
      <w:r>
        <w:rPr>
          <w:color w:val="auto"/>
          <w:sz w:val="24"/>
        </w:rPr>
        <w:t>Для публикации.</w:t>
      </w:r>
    </w:p>
    <w:p w:rsidR="006357B9" w:rsidRDefault="006357B9">
      <w:pPr>
        <w:spacing w:line="192" w:lineRule="auto"/>
        <w:ind w:firstLine="709"/>
        <w:contextualSpacing/>
        <w:jc w:val="both"/>
        <w:rPr>
          <w:color w:val="auto"/>
          <w:sz w:val="24"/>
          <w:highlight w:val="yellow"/>
        </w:rPr>
      </w:pPr>
    </w:p>
    <w:p w:rsidR="006357B9" w:rsidRDefault="006357B9">
      <w:pPr>
        <w:spacing w:line="192" w:lineRule="auto"/>
        <w:rPr>
          <w:color w:val="auto"/>
          <w:sz w:val="24"/>
          <w:highlight w:val="yellow"/>
        </w:rPr>
      </w:pPr>
    </w:p>
    <w:p w:rsidR="006357B9" w:rsidRDefault="006357B9">
      <w:pPr>
        <w:spacing w:line="192" w:lineRule="auto"/>
        <w:rPr>
          <w:rFonts w:ascii="TimesET" w:hAnsi="TimesET"/>
          <w:color w:val="auto"/>
          <w:sz w:val="24"/>
          <w:highlight w:val="yellow"/>
        </w:rPr>
      </w:pPr>
    </w:p>
    <w:p w:rsidR="006357B9" w:rsidRDefault="006357B9">
      <w:pPr>
        <w:jc w:val="both"/>
        <w:rPr>
          <w:rFonts w:ascii="Calibri" w:hAnsi="Calibri"/>
          <w:color w:val="auto"/>
          <w:sz w:val="24"/>
          <w:highlight w:val="yellow"/>
        </w:rPr>
      </w:pPr>
    </w:p>
    <w:p w:rsidR="006357B9" w:rsidRDefault="006357B9">
      <w:pPr>
        <w:jc w:val="both"/>
        <w:rPr>
          <w:rFonts w:ascii="Calibri" w:hAnsi="Calibri"/>
          <w:color w:val="auto"/>
          <w:sz w:val="24"/>
          <w:highlight w:val="yellow"/>
        </w:rPr>
      </w:pPr>
    </w:p>
    <w:p w:rsidR="006357B9" w:rsidRDefault="006357B9">
      <w:pPr>
        <w:jc w:val="both"/>
        <w:rPr>
          <w:rFonts w:ascii="Calibri" w:hAnsi="Calibri"/>
          <w:color w:val="auto"/>
          <w:sz w:val="24"/>
          <w:highlight w:val="yellow"/>
        </w:rPr>
      </w:pPr>
    </w:p>
    <w:p w:rsidR="006357B9" w:rsidRDefault="006357B9">
      <w:pPr>
        <w:tabs>
          <w:tab w:val="left" w:pos="1418"/>
        </w:tabs>
        <w:rPr>
          <w:color w:val="auto"/>
          <w:sz w:val="24"/>
          <w:highlight w:val="yellow"/>
        </w:rPr>
      </w:pPr>
    </w:p>
    <w:p w:rsidR="006357B9" w:rsidRDefault="006357B9">
      <w:pPr>
        <w:tabs>
          <w:tab w:val="left" w:pos="1418"/>
        </w:tabs>
        <w:rPr>
          <w:color w:val="auto"/>
          <w:sz w:val="24"/>
          <w:highlight w:val="yellow"/>
        </w:rPr>
      </w:pPr>
    </w:p>
    <w:p w:rsidR="006357B9" w:rsidRDefault="006357B9">
      <w:pPr>
        <w:rPr>
          <w:color w:val="auto"/>
          <w:sz w:val="24"/>
          <w:szCs w:val="24"/>
          <w:highlight w:val="yellow"/>
        </w:rPr>
      </w:pPr>
    </w:p>
    <w:p w:rsidR="006357B9" w:rsidRDefault="006357B9">
      <w:pPr>
        <w:rPr>
          <w:color w:val="auto"/>
          <w:sz w:val="24"/>
          <w:szCs w:val="24"/>
          <w:highlight w:val="yellow"/>
        </w:rPr>
      </w:pPr>
    </w:p>
    <w:p w:rsidR="006357B9" w:rsidRDefault="006357B9">
      <w:pPr>
        <w:rPr>
          <w:color w:val="auto"/>
          <w:sz w:val="24"/>
          <w:szCs w:val="24"/>
          <w:highlight w:val="yellow"/>
        </w:rPr>
      </w:pPr>
    </w:p>
    <w:p w:rsidR="006357B9" w:rsidRDefault="006357B9">
      <w:pPr>
        <w:rPr>
          <w:color w:val="auto"/>
          <w:sz w:val="24"/>
          <w:szCs w:val="24"/>
          <w:highlight w:val="yellow"/>
        </w:rPr>
      </w:pPr>
    </w:p>
    <w:p w:rsidR="006357B9" w:rsidRDefault="006357B9">
      <w:pPr>
        <w:rPr>
          <w:color w:val="auto"/>
          <w:sz w:val="24"/>
          <w:szCs w:val="24"/>
          <w:highlight w:val="yellow"/>
        </w:rPr>
      </w:pPr>
    </w:p>
    <w:p w:rsidR="006357B9" w:rsidRDefault="006357B9">
      <w:pPr>
        <w:rPr>
          <w:color w:val="auto"/>
          <w:sz w:val="24"/>
          <w:highlight w:val="yellow"/>
        </w:rPr>
      </w:pPr>
    </w:p>
    <w:p w:rsidR="006357B9" w:rsidRDefault="0022643E">
      <w:pPr>
        <w:tabs>
          <w:tab w:val="left" w:pos="1418"/>
        </w:tabs>
        <w:rPr>
          <w:color w:val="auto"/>
          <w:sz w:val="24"/>
        </w:rPr>
      </w:pPr>
      <w:r>
        <w:rPr>
          <w:color w:val="auto"/>
          <w:sz w:val="24"/>
        </w:rPr>
        <w:t>Н.В. Корнева – ведущий специалист проектного отдела</w:t>
      </w:r>
    </w:p>
    <w:p w:rsidR="006357B9" w:rsidRDefault="0022643E">
      <w:pPr>
        <w:tabs>
          <w:tab w:val="left" w:pos="1418"/>
        </w:tabs>
        <w:rPr>
          <w:color w:val="auto"/>
          <w:sz w:val="24"/>
        </w:rPr>
      </w:pPr>
      <w:r>
        <w:rPr>
          <w:color w:val="auto"/>
          <w:sz w:val="24"/>
        </w:rPr>
        <w:t>ГКУ РО «Центр градостроительного развития Рязанской области»</w:t>
      </w:r>
    </w:p>
    <w:p w:rsidR="006357B9" w:rsidRDefault="0022643E">
      <w:pPr>
        <w:tabs>
          <w:tab w:val="left" w:pos="709"/>
        </w:tabs>
        <w:jc w:val="both"/>
        <w:rPr>
          <w:color w:val="FF0000"/>
          <w:sz w:val="24"/>
          <w:highlight w:val="yellow"/>
        </w:rPr>
        <w:sectPr w:rsidR="006357B9">
          <w:headerReference w:type="default" r:id="rId12"/>
          <w:pgSz w:w="11906" w:h="16838"/>
          <w:pgMar w:top="1134" w:right="567" w:bottom="1134" w:left="1417" w:header="0" w:footer="0" w:gutter="0"/>
          <w:cols w:space="1701"/>
          <w:docGrid w:linePitch="360"/>
        </w:sectPr>
      </w:pPr>
      <w:r>
        <w:rPr>
          <w:color w:val="auto"/>
          <w:sz w:val="24"/>
        </w:rPr>
        <w:t>97-19-90 (д</w:t>
      </w:r>
      <w:r>
        <w:rPr>
          <w:color w:val="000000" w:themeColor="text1"/>
          <w:sz w:val="24"/>
        </w:rPr>
        <w:t>об.</w:t>
      </w:r>
      <w:r>
        <w:rPr>
          <w:color w:val="000000" w:themeColor="text1"/>
          <w:sz w:val="24"/>
        </w:rPr>
        <w:t xml:space="preserve"> 269)</w:t>
      </w:r>
    </w:p>
    <w:p w:rsidR="006357B9" w:rsidRDefault="0022643E">
      <w:pPr>
        <w:jc w:val="center"/>
        <w:rPr>
          <w:color w:val="auto"/>
          <w:sz w:val="28"/>
        </w:rPr>
      </w:pPr>
      <w:r>
        <w:rPr>
          <w:color w:val="auto"/>
          <w:sz w:val="28"/>
        </w:rPr>
        <w:lastRenderedPageBreak/>
        <w:t>ЛИСТ СОГЛАСОВАНИЯ</w:t>
      </w:r>
    </w:p>
    <w:p w:rsidR="006357B9" w:rsidRDefault="006357B9">
      <w:pPr>
        <w:jc w:val="center"/>
        <w:rPr>
          <w:color w:val="auto"/>
          <w:sz w:val="28"/>
        </w:rPr>
      </w:pPr>
    </w:p>
    <w:p w:rsidR="006357B9" w:rsidRDefault="0022643E">
      <w:pPr>
        <w:pStyle w:val="ConsPlusNormal1"/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 проекту постановления главного управления архитектуры                                        и градостроительства Рязанской области «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 xml:space="preserve">в </w:t>
      </w:r>
      <w:r>
        <w:rPr>
          <w:rFonts w:ascii="Times New Roman" w:eastAsia="Times New Roman" w:hAnsi="Times New Roman" w:cs="Times New Roman"/>
          <w:color w:val="auto"/>
          <w:sz w:val="28"/>
        </w:rPr>
        <w:t>правила землепользования и застройки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муниципального образования</w:t>
      </w:r>
      <w:r w:rsidRPr="00C40372">
        <w:rPr>
          <w:rFonts w:ascii="Times New Roman" w:hAnsi="Times New Roman"/>
          <w:color w:val="auto"/>
          <w:sz w:val="28"/>
          <w:szCs w:val="28"/>
        </w:rPr>
        <w:t xml:space="preserve"> –</w:t>
      </w:r>
    </w:p>
    <w:p w:rsidR="006357B9" w:rsidRDefault="0022643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Калининское сельское поселение Ухоловского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 xml:space="preserve"> Рязанской области</w:t>
      </w:r>
      <w:r>
        <w:rPr>
          <w:rFonts w:ascii="Times New Roman" w:eastAsia="Times New Roman" w:hAnsi="Times New Roman" w:cs="Times New Roman"/>
          <w:color w:val="auto"/>
          <w:sz w:val="28"/>
        </w:rPr>
        <w:t>»</w:t>
      </w:r>
    </w:p>
    <w:p w:rsidR="006357B9" w:rsidRDefault="006357B9">
      <w:pPr>
        <w:pStyle w:val="ConsPlusNormal1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6357B9" w:rsidRDefault="006357B9">
      <w:pPr>
        <w:pStyle w:val="ConsPlusNormal1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4360"/>
        <w:gridCol w:w="2551"/>
        <w:gridCol w:w="3010"/>
      </w:tblGrid>
      <w:tr w:rsidR="006357B9">
        <w:trPr>
          <w:trHeight w:val="787"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7B9" w:rsidRDefault="0022643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Должность </w:t>
            </w:r>
          </w:p>
          <w:p w:rsidR="006357B9" w:rsidRDefault="0022643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согласующего лица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7B9" w:rsidRDefault="0022643E">
            <w:pPr>
              <w:pStyle w:val="ConsPlus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Дата согласования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7B9" w:rsidRDefault="0022643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Ф.И.О./Подпись</w:t>
            </w:r>
          </w:p>
        </w:tc>
      </w:tr>
      <w:tr w:rsidR="006357B9">
        <w:trPr>
          <w:trHeight w:val="2254"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22643E">
            <w:pPr>
              <w:pStyle w:val="ConsPlus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Заместитель начальника главного управления архитектуры и градостроительства</w:t>
            </w:r>
          </w:p>
          <w:p w:rsidR="006357B9" w:rsidRDefault="006357B9">
            <w:pPr>
              <w:pStyle w:val="ConsPlusNormal1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6357B9" w:rsidRDefault="006357B9">
            <w:pPr>
              <w:pStyle w:val="ConsPlusNormal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6357B9">
            <w:pPr>
              <w:pStyle w:val="ConsPlus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357B9" w:rsidRDefault="0022643E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О.М. Алямовская</w:t>
            </w:r>
          </w:p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357B9">
        <w:trPr>
          <w:trHeight w:val="2254"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22643E">
            <w:pPr>
              <w:pStyle w:val="ConsPlusNormal1"/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Заместитель начальника главного управления архитектуры и градостроительства</w:t>
            </w:r>
          </w:p>
          <w:p w:rsidR="006357B9" w:rsidRDefault="006357B9">
            <w:pPr>
              <w:pStyle w:val="ConsPlusNormal1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6357B9" w:rsidRDefault="006357B9">
            <w:pPr>
              <w:pStyle w:val="ConsPlusNormal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6357B9">
            <w:pPr>
              <w:pStyle w:val="ConsPlus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357B9" w:rsidRDefault="0022643E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Т.С. Попкова</w:t>
            </w:r>
          </w:p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357B9">
        <w:trPr>
          <w:trHeight w:val="2254"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22643E">
            <w:pPr>
              <w:pStyle w:val="ConsPlusNormal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отдела градостроительного контроля и правового обеспечения</w:t>
            </w:r>
          </w:p>
          <w:p w:rsidR="006357B9" w:rsidRDefault="006357B9">
            <w:pPr>
              <w:tabs>
                <w:tab w:val="left" w:pos="709"/>
              </w:tabs>
              <w:rPr>
                <w:rFonts w:eastAsia="Times New Roman" w:cs="Times New Roman"/>
              </w:rPr>
            </w:pPr>
          </w:p>
          <w:p w:rsidR="006357B9" w:rsidRDefault="006357B9">
            <w:pPr>
              <w:pStyle w:val="ConsPlusNormal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6357B9">
            <w:pPr>
              <w:pStyle w:val="ConsPlus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357B9" w:rsidRDefault="0022643E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И.К. Кузнецов</w:t>
            </w:r>
          </w:p>
        </w:tc>
      </w:tr>
    </w:tbl>
    <w:p w:rsidR="006357B9" w:rsidRDefault="006357B9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4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4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4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4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4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4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4"/>
          <w:szCs w:val="24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4"/>
          <w:szCs w:val="24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4"/>
          <w:szCs w:val="24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4"/>
          <w:szCs w:val="24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4"/>
          <w:szCs w:val="24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4"/>
          <w:szCs w:val="24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4"/>
          <w:szCs w:val="24"/>
          <w:highlight w:val="yellow"/>
        </w:rPr>
      </w:pPr>
    </w:p>
    <w:p w:rsidR="006357B9" w:rsidRDefault="006357B9">
      <w:pPr>
        <w:tabs>
          <w:tab w:val="left" w:pos="709"/>
        </w:tabs>
        <w:jc w:val="both"/>
        <w:rPr>
          <w:color w:val="auto"/>
          <w:sz w:val="24"/>
          <w:szCs w:val="24"/>
          <w:highlight w:val="yellow"/>
        </w:rPr>
      </w:pPr>
    </w:p>
    <w:p w:rsidR="006357B9" w:rsidRDefault="0022643E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</w:rPr>
        <w:lastRenderedPageBreak/>
        <w:t>ЛИСТ СОГЛАСОВАНИЯ</w:t>
      </w:r>
    </w:p>
    <w:p w:rsidR="006357B9" w:rsidRDefault="006357B9">
      <w:pPr>
        <w:jc w:val="center"/>
        <w:rPr>
          <w:rFonts w:eastAsia="Times New Roman" w:cs="Times New Roman"/>
          <w:sz w:val="28"/>
        </w:rPr>
      </w:pPr>
    </w:p>
    <w:p w:rsidR="006357B9" w:rsidRDefault="0022643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проекту постановления главного управления архитектуры                                        и градостроительства Рязанской области «</w:t>
      </w:r>
      <w:r>
        <w:rPr>
          <w:rFonts w:ascii="Times New Roman" w:eastAsia="Times New Roman" w:hAnsi="Times New Roman" w:cs="Times New Roman"/>
          <w:color w:val="auto"/>
          <w:sz w:val="28"/>
        </w:rPr>
        <w:t>О внесении изменений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 xml:space="preserve">в </w:t>
      </w:r>
      <w:r>
        <w:rPr>
          <w:rFonts w:ascii="Times New Roman" w:eastAsia="Times New Roman" w:hAnsi="Times New Roman" w:cs="Times New Roman"/>
          <w:color w:val="auto"/>
          <w:sz w:val="28"/>
        </w:rPr>
        <w:t>правила землепользования и застройки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муниципального 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бразования </w:t>
      </w:r>
      <w:r>
        <w:rPr>
          <w:color w:val="000000" w:themeColor="text1"/>
          <w:sz w:val="28"/>
          <w:highlight w:val="white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6357B9" w:rsidRDefault="0022643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Калининское сельское поселение Ухоловского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Рязанской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области</w:t>
      </w:r>
      <w:r>
        <w:rPr>
          <w:rFonts w:ascii="Times New Roman" w:eastAsia="Times New Roman" w:hAnsi="Times New Roman" w:cs="Times New Roman"/>
          <w:color w:val="auto"/>
          <w:sz w:val="28"/>
        </w:rPr>
        <w:t>»</w:t>
      </w:r>
    </w:p>
    <w:p w:rsidR="006357B9" w:rsidRDefault="006357B9">
      <w:pPr>
        <w:pStyle w:val="ConsPlusNormal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57B9" w:rsidRDefault="006357B9">
      <w:pPr>
        <w:pStyle w:val="ConsPlusNormal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4360"/>
        <w:gridCol w:w="2551"/>
        <w:gridCol w:w="3010"/>
      </w:tblGrid>
      <w:tr w:rsidR="006357B9">
        <w:trPr>
          <w:trHeight w:val="826"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7B9" w:rsidRDefault="0022643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Должность </w:t>
            </w:r>
          </w:p>
          <w:p w:rsidR="006357B9" w:rsidRDefault="0022643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согласующего лица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7B9" w:rsidRDefault="0022643E">
            <w:pPr>
              <w:pStyle w:val="ConsPlus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Дата согласования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7B9" w:rsidRDefault="0022643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Ф.И.О./Подпись</w:t>
            </w:r>
          </w:p>
        </w:tc>
      </w:tr>
      <w:tr w:rsidR="006357B9">
        <w:trPr>
          <w:trHeight w:val="2254"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22643E">
            <w:pPr>
              <w:tabs>
                <w:tab w:val="left" w:pos="709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Директор ГКУ РО «Центр градостроительного развития Рязанской области»</w:t>
            </w:r>
          </w:p>
          <w:p w:rsidR="006357B9" w:rsidRDefault="006357B9">
            <w:pPr>
              <w:pStyle w:val="ConsPlusNormal1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6357B9" w:rsidRDefault="006357B9">
            <w:pPr>
              <w:pStyle w:val="ConsPlusNormal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6357B9">
            <w:pPr>
              <w:pStyle w:val="ConsPlus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357B9" w:rsidRDefault="0022643E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Е.В. Сержантова</w:t>
            </w:r>
          </w:p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357B9">
        <w:trPr>
          <w:trHeight w:val="2254"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22643E">
            <w:pPr>
              <w:tabs>
                <w:tab w:val="left" w:pos="709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Заместитель директора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  <w:t>по информационному обеспечению ГКУ РО «Центр градостроительного развития Рязанской области»</w:t>
            </w:r>
          </w:p>
          <w:p w:rsidR="006357B9" w:rsidRDefault="006357B9">
            <w:pPr>
              <w:pStyle w:val="ConsPlusNormal1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6357B9" w:rsidRDefault="006357B9">
            <w:pPr>
              <w:pStyle w:val="ConsPlusNormal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6357B9">
            <w:pPr>
              <w:pStyle w:val="ConsPlus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357B9" w:rsidRDefault="0022643E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Т.К. Шибут</w:t>
            </w:r>
          </w:p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357B9">
        <w:trPr>
          <w:trHeight w:val="2254"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22643E">
            <w:pPr>
              <w:tabs>
                <w:tab w:val="left" w:pos="709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Заместитель директора по территориальному планированию ГКУ РО «Центр градостроительного развития Рязанской области»</w:t>
            </w:r>
          </w:p>
          <w:p w:rsidR="006357B9" w:rsidRDefault="006357B9">
            <w:pPr>
              <w:pStyle w:val="ConsPlusNormal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6357B9">
            <w:pPr>
              <w:pStyle w:val="ConsPlus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357B9" w:rsidRDefault="0022643E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А.В. Теслова</w:t>
            </w:r>
          </w:p>
        </w:tc>
      </w:tr>
      <w:tr w:rsidR="006357B9">
        <w:trPr>
          <w:trHeight w:val="2254"/>
        </w:trPr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22643E">
            <w:pPr>
              <w:tabs>
                <w:tab w:val="left" w:pos="709"/>
              </w:tabs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8"/>
              </w:rPr>
              <w:t>Н</w:t>
            </w:r>
            <w:r>
              <w:rPr>
                <w:rFonts w:eastAsia="Times New Roman" w:cs="Times New Roman"/>
                <w:color w:val="auto"/>
                <w:sz w:val="28"/>
                <w:highlight w:val="white"/>
              </w:rPr>
              <w:t>ачальник юридического отдела ГКУ РО «Центр градостроительного развития Рязанской области»</w:t>
            </w:r>
          </w:p>
          <w:p w:rsidR="006357B9" w:rsidRDefault="006357B9">
            <w:pPr>
              <w:pStyle w:val="ConsPlusNormal1"/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357B9" w:rsidRDefault="006357B9">
            <w:pPr>
              <w:pStyle w:val="ConsPlusNormal1"/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6357B9" w:rsidRDefault="006357B9">
            <w:pPr>
              <w:pStyle w:val="ConsPlusNormal1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6357B9">
            <w:pPr>
              <w:pStyle w:val="ConsPlus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357B9" w:rsidRDefault="0022643E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В.А. Янтовский</w:t>
            </w:r>
          </w:p>
          <w:p w:rsidR="006357B9" w:rsidRDefault="006357B9">
            <w:pPr>
              <w:pStyle w:val="ConsPlusNormal1"/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57B9" w:rsidRDefault="006357B9">
      <w:pPr>
        <w:tabs>
          <w:tab w:val="left" w:pos="709"/>
        </w:tabs>
        <w:ind w:firstLine="567"/>
        <w:jc w:val="center"/>
        <w:rPr>
          <w:rFonts w:eastAsia="Times New Roman" w:cs="Times New Roman"/>
          <w:sz w:val="28"/>
        </w:rPr>
      </w:pPr>
    </w:p>
    <w:p w:rsidR="006357B9" w:rsidRDefault="006357B9">
      <w:pPr>
        <w:rPr>
          <w:rFonts w:eastAsia="Times New Roman" w:cs="Times New Roman"/>
        </w:rPr>
      </w:pPr>
    </w:p>
    <w:p w:rsidR="006357B9" w:rsidRDefault="006357B9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6357B9" w:rsidRDefault="006357B9"/>
    <w:sectPr w:rsidR="006357B9">
      <w:headerReference w:type="default" r:id="rId13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3E" w:rsidRDefault="0022643E">
      <w:r>
        <w:separator/>
      </w:r>
    </w:p>
  </w:endnote>
  <w:endnote w:type="continuationSeparator" w:id="0">
    <w:p w:rsidR="0022643E" w:rsidRDefault="0022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E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B9" w:rsidRDefault="006357B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3E" w:rsidRDefault="0022643E">
      <w:r>
        <w:separator/>
      </w:r>
    </w:p>
  </w:footnote>
  <w:footnote w:type="continuationSeparator" w:id="0">
    <w:p w:rsidR="0022643E" w:rsidRDefault="0022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B9" w:rsidRDefault="0022643E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C40372" w:rsidRPr="00C40372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6357B9" w:rsidRDefault="006357B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B9" w:rsidRDefault="006357B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B9" w:rsidRDefault="006357B9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2B7A"/>
    <w:multiLevelType w:val="hybridMultilevel"/>
    <w:tmpl w:val="3CA85268"/>
    <w:lvl w:ilvl="0" w:tplc="CF18719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E3EBA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92C40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1D4E2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63059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59E0C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51680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FA0A4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762AE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3867AA"/>
    <w:multiLevelType w:val="multilevel"/>
    <w:tmpl w:val="1BEA50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B9"/>
    <w:rsid w:val="0022643E"/>
    <w:rsid w:val="006357B9"/>
    <w:rsid w:val="00C4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B9A0"/>
  <w15:docId w15:val="{85A55244-7166-47F3-95CD-4735DCA7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246</cp:revision>
  <cp:lastPrinted>2025-09-11T11:05:00Z</cp:lastPrinted>
  <dcterms:created xsi:type="dcterms:W3CDTF">2025-09-11T11:03:00Z</dcterms:created>
  <dcterms:modified xsi:type="dcterms:W3CDTF">2025-09-11T11:08:00Z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