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EDD" w:rsidRDefault="0012429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EDD" w:rsidRDefault="0012429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541EDD" w:rsidRDefault="0012429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41EDD" w:rsidRDefault="00541ED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41EDD" w:rsidRDefault="00541ED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41EDD" w:rsidRDefault="0012429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41EDD" w:rsidRDefault="00541EDD">
      <w:pPr>
        <w:tabs>
          <w:tab w:val="left" w:pos="709"/>
        </w:tabs>
        <w:jc w:val="center"/>
        <w:rPr>
          <w:sz w:val="28"/>
        </w:rPr>
      </w:pPr>
    </w:p>
    <w:p w:rsidR="00541EDD" w:rsidRDefault="00541EDD">
      <w:pPr>
        <w:tabs>
          <w:tab w:val="left" w:pos="709"/>
        </w:tabs>
        <w:jc w:val="center"/>
        <w:rPr>
          <w:sz w:val="28"/>
        </w:rPr>
      </w:pPr>
    </w:p>
    <w:p w:rsidR="00541EDD" w:rsidRDefault="0012429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2842ED">
        <w:rPr>
          <w:sz w:val="28"/>
        </w:rPr>
        <w:t>25</w:t>
      </w:r>
      <w:r>
        <w:rPr>
          <w:sz w:val="28"/>
        </w:rPr>
        <w:t>»</w:t>
      </w:r>
      <w:r w:rsidR="002842ED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   </w:t>
      </w:r>
      <w:r w:rsidR="002842ED">
        <w:rPr>
          <w:sz w:val="28"/>
        </w:rPr>
        <w:t xml:space="preserve">                  </w:t>
      </w:r>
      <w:bookmarkStart w:id="0" w:name="_GoBack"/>
      <w:bookmarkEnd w:id="0"/>
      <w:r>
        <w:rPr>
          <w:sz w:val="28"/>
        </w:rPr>
        <w:t xml:space="preserve">   № </w:t>
      </w:r>
      <w:r w:rsidR="002842ED">
        <w:rPr>
          <w:sz w:val="28"/>
        </w:rPr>
        <w:t>823-п</w:t>
      </w:r>
    </w:p>
    <w:p w:rsidR="00541EDD" w:rsidRDefault="00541EDD">
      <w:pPr>
        <w:tabs>
          <w:tab w:val="left" w:pos="709"/>
        </w:tabs>
        <w:jc w:val="both"/>
        <w:rPr>
          <w:sz w:val="28"/>
        </w:rPr>
      </w:pPr>
    </w:p>
    <w:p w:rsidR="00541EDD" w:rsidRDefault="00541EDD">
      <w:pPr>
        <w:tabs>
          <w:tab w:val="left" w:pos="709"/>
        </w:tabs>
        <w:jc w:val="both"/>
        <w:rPr>
          <w:sz w:val="28"/>
        </w:rPr>
      </w:pPr>
    </w:p>
    <w:p w:rsidR="00541EDD" w:rsidRDefault="0012429F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 муниципального образования – Баграмовское се</w:t>
      </w:r>
      <w:r>
        <w:rPr>
          <w:rFonts w:ascii="Times New Roman" w:hAnsi="Times New Roman"/>
          <w:sz w:val="28"/>
        </w:rPr>
        <w:t>льское</w:t>
      </w:r>
      <w:r>
        <w:rPr>
          <w:rFonts w:ascii="Times New Roman" w:hAnsi="Times New Roman"/>
          <w:color w:val="auto"/>
          <w:sz w:val="28"/>
          <w:szCs w:val="28"/>
        </w:rPr>
        <w:t xml:space="preserve"> поселение Рыбновского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района Рязанской области</w:t>
      </w:r>
    </w:p>
    <w:p w:rsidR="00541EDD" w:rsidRDefault="00541EDD">
      <w:pPr>
        <w:tabs>
          <w:tab w:val="left" w:pos="709"/>
        </w:tabs>
        <w:jc w:val="both"/>
        <w:rPr>
          <w:color w:val="auto"/>
          <w:sz w:val="28"/>
        </w:rPr>
      </w:pPr>
    </w:p>
    <w:p w:rsidR="00541EDD" w:rsidRDefault="0012429F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ей 32</w:t>
      </w:r>
      <w:r>
        <w:rPr>
          <w:color w:val="auto"/>
          <w:sz w:val="28"/>
          <w:highlight w:val="white"/>
        </w:rPr>
        <w:t>,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</w:t>
      </w:r>
      <w:r>
        <w:rPr>
          <w:color w:val="auto"/>
          <w:sz w:val="28"/>
          <w:szCs w:val="28"/>
        </w:rPr>
        <w:t>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</w:t>
      </w:r>
      <w:r>
        <w:rPr>
          <w:color w:val="auto"/>
          <w:sz w:val="28"/>
          <w:szCs w:val="28"/>
        </w:rPr>
        <w:t xml:space="preserve">осударственной власти Рязанской области», </w:t>
      </w:r>
      <w:r>
        <w:rPr>
          <w:color w:val="auto"/>
          <w:sz w:val="28"/>
          <w:szCs w:val="28"/>
        </w:rPr>
        <w:t xml:space="preserve">руководствуясь постановлениями Правительства Рязанской области </w:t>
      </w:r>
      <w:r>
        <w:rPr>
          <w:color w:val="auto"/>
          <w:sz w:val="28"/>
          <w:szCs w:val="28"/>
        </w:rPr>
        <w:br/>
        <w:t xml:space="preserve">от 06.09.2022 № 320 </w:t>
      </w:r>
      <w:r>
        <w:rPr>
          <w:color w:val="auto"/>
          <w:sz w:val="28"/>
          <w:szCs w:val="28"/>
        </w:rPr>
        <w:t xml:space="preserve">«Об установлении случаев утверждения проектов генеральных планов, правил землепользования и застройки, планировки </w:t>
      </w:r>
      <w:r>
        <w:rPr>
          <w:color w:val="auto"/>
          <w:sz w:val="28"/>
          <w:szCs w:val="28"/>
        </w:rPr>
        <w:br/>
        <w:t>и межевания тер</w:t>
      </w:r>
      <w:r>
        <w:rPr>
          <w:color w:val="auto"/>
          <w:sz w:val="28"/>
          <w:szCs w:val="28"/>
        </w:rPr>
        <w:t xml:space="preserve">ритории без проведения общественных обсуждений </w:t>
      </w:r>
      <w:r>
        <w:rPr>
          <w:color w:val="auto"/>
          <w:sz w:val="28"/>
          <w:szCs w:val="28"/>
        </w:rPr>
        <w:br/>
        <w:t>или публичных слушаний</w:t>
      </w:r>
      <w:r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, от 06.08.2008 № 153 «Об утверждении Положения </w:t>
      </w:r>
      <w:r>
        <w:rPr>
          <w:color w:val="auto"/>
          <w:sz w:val="28"/>
          <w:szCs w:val="28"/>
        </w:rPr>
        <w:br/>
        <w:t xml:space="preserve">о главном управлении архитектуры и градостроительства Рязанской области», главное управление архитектуры и градостроительства Рязанской </w:t>
      </w:r>
      <w:r>
        <w:rPr>
          <w:color w:val="auto"/>
          <w:sz w:val="28"/>
          <w:szCs w:val="28"/>
        </w:rPr>
        <w:t>области ПОСТАНОВЛЯЕТ:</w:t>
      </w:r>
    </w:p>
    <w:p w:rsidR="00541EDD" w:rsidRDefault="0012429F" w:rsidP="0012429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Баграмовское се</w:t>
      </w:r>
      <w:r>
        <w:rPr>
          <w:sz w:val="28"/>
        </w:rPr>
        <w:t>льское</w:t>
      </w:r>
      <w:r>
        <w:rPr>
          <w:color w:val="auto"/>
          <w:sz w:val="28"/>
          <w:szCs w:val="28"/>
        </w:rPr>
        <w:t xml:space="preserve"> поселение Рыбновского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главного управления архитектуры и градостроительства Рязанской области </w:t>
      </w:r>
      <w:r>
        <w:rPr>
          <w:sz w:val="28"/>
          <w:szCs w:val="27"/>
        </w:rPr>
        <w:t>от</w:t>
      </w:r>
      <w:r>
        <w:rPr>
          <w:sz w:val="28"/>
          <w:highlight w:val="white"/>
        </w:rPr>
        <w:t xml:space="preserve"> 22.12.2021 № 621-п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  <w:t>«</w:t>
      </w:r>
      <w:r>
        <w:rPr>
          <w:color w:val="auto"/>
          <w:sz w:val="28"/>
          <w:szCs w:val="28"/>
        </w:rPr>
        <w:t xml:space="preserve">Об утверждении </w:t>
      </w:r>
      <w:r>
        <w:rPr>
          <w:color w:val="auto"/>
          <w:sz w:val="28"/>
          <w:szCs w:val="28"/>
        </w:rPr>
        <w:t>правил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Баграмовское се</w:t>
      </w:r>
      <w:r>
        <w:rPr>
          <w:sz w:val="28"/>
        </w:rPr>
        <w:t>льское</w:t>
      </w:r>
      <w:r>
        <w:rPr>
          <w:color w:val="auto"/>
          <w:sz w:val="28"/>
          <w:szCs w:val="28"/>
        </w:rPr>
        <w:t xml:space="preserve"> поселение Рыбновского</w:t>
      </w:r>
      <w:r>
        <w:rPr>
          <w:color w:val="auto"/>
          <w:sz w:val="28"/>
          <w:szCs w:val="28"/>
        </w:rPr>
        <w:t xml:space="preserve"> м</w:t>
      </w:r>
      <w:r>
        <w:rPr>
          <w:color w:val="auto"/>
          <w:sz w:val="28"/>
          <w:szCs w:val="28"/>
        </w:rPr>
        <w:t>униципал</w:t>
      </w:r>
      <w:r>
        <w:rPr>
          <w:color w:val="auto"/>
          <w:sz w:val="28"/>
          <w:szCs w:val="28"/>
        </w:rPr>
        <w:t>ьного района Рязанской области»</w:t>
      </w:r>
      <w:r>
        <w:rPr>
          <w:color w:val="auto"/>
          <w:sz w:val="28"/>
        </w:rPr>
        <w:t xml:space="preserve"> </w:t>
      </w:r>
      <w:r>
        <w:rPr>
          <w:color w:val="000000" w:themeColor="text1"/>
          <w:sz w:val="28"/>
          <w:szCs w:val="28"/>
        </w:rPr>
        <w:t>(</w:t>
      </w:r>
      <w:r>
        <w:rPr>
          <w:color w:val="auto"/>
          <w:sz w:val="28"/>
        </w:rPr>
        <w:t>в редакции постановлений Главархитектуры Рязанской области от 17.03</w:t>
      </w:r>
      <w:r>
        <w:rPr>
          <w:color w:val="auto"/>
          <w:sz w:val="28"/>
        </w:rPr>
        <w:t xml:space="preserve">.2023 </w:t>
      </w:r>
      <w:r>
        <w:rPr>
          <w:sz w:val="28"/>
        </w:rPr>
        <w:t>№</w:t>
      </w:r>
      <w:r>
        <w:rPr>
          <w:color w:val="auto"/>
          <w:sz w:val="28"/>
        </w:rPr>
        <w:t xml:space="preserve"> 138-п, от 22.09.2023 № 438-п, от 17.04.2024 </w:t>
      </w:r>
      <w:r>
        <w:rPr>
          <w:color w:val="auto"/>
          <w:sz w:val="28"/>
        </w:rPr>
        <w:br/>
        <w:t xml:space="preserve">№ 154-п, от 27.11.2024 № 684-п, от 09.01.2025 № 12-п, </w:t>
      </w:r>
      <w:r>
        <w:rPr>
          <w:color w:val="auto"/>
          <w:sz w:val="28"/>
          <w:szCs w:val="28"/>
        </w:rPr>
        <w:t xml:space="preserve">от 16.01.2025 № 32-п, </w:t>
      </w:r>
      <w:r>
        <w:rPr>
          <w:color w:val="auto"/>
          <w:sz w:val="28"/>
          <w:szCs w:val="28"/>
        </w:rPr>
        <w:br/>
        <w:t xml:space="preserve">от 11.03.2025 № 161-п, от </w:t>
      </w:r>
      <w:r>
        <w:rPr>
          <w:color w:val="auto"/>
          <w:sz w:val="28"/>
          <w:szCs w:val="28"/>
        </w:rPr>
        <w:t xml:space="preserve">28.03.2025 № 229-п, от 09.04.2025 № 253-п, </w:t>
      </w:r>
      <w:r>
        <w:rPr>
          <w:sz w:val="28"/>
          <w:szCs w:val="28"/>
        </w:rPr>
        <w:br/>
        <w:t>от 01.08.2025 № 609-п</w:t>
      </w:r>
      <w:r>
        <w:rPr>
          <w:color w:val="auto"/>
          <w:sz w:val="28"/>
          <w:szCs w:val="28"/>
        </w:rPr>
        <w:t xml:space="preserve">, </w:t>
      </w:r>
      <w:r>
        <w:rPr>
          <w:sz w:val="28"/>
          <w:szCs w:val="28"/>
        </w:rPr>
        <w:t>от 25.08.2025 № 6</w:t>
      </w:r>
      <w:r>
        <w:rPr>
          <w:color w:val="auto"/>
          <w:sz w:val="28"/>
          <w:szCs w:val="28"/>
        </w:rPr>
        <w:t>99-п, от 19.09.2025 № 811-п)</w:t>
      </w:r>
      <w:r>
        <w:rPr>
          <w:sz w:val="28"/>
          <w:szCs w:val="28"/>
        </w:rPr>
        <w:t xml:space="preserve">, следующие </w:t>
      </w:r>
      <w:r>
        <w:rPr>
          <w:color w:val="auto"/>
          <w:sz w:val="28"/>
          <w:szCs w:val="28"/>
        </w:rPr>
        <w:t>изм</w:t>
      </w:r>
      <w:r>
        <w:rPr>
          <w:color w:val="auto"/>
          <w:sz w:val="28"/>
          <w:szCs w:val="28"/>
        </w:rPr>
        <w:t>енения</w:t>
      </w:r>
      <w:r>
        <w:rPr>
          <w:color w:val="auto"/>
          <w:sz w:val="28"/>
        </w:rPr>
        <w:t>:</w:t>
      </w:r>
    </w:p>
    <w:p w:rsidR="00541EDD" w:rsidRDefault="0012429F" w:rsidP="0012429F">
      <w:pPr>
        <w:numPr>
          <w:ilvl w:val="0"/>
          <w:numId w:val="2"/>
        </w:numPr>
        <w:tabs>
          <w:tab w:val="clear" w:pos="0"/>
          <w:tab w:val="left" w:pos="1134"/>
        </w:tabs>
        <w:spacing w:line="276" w:lineRule="auto"/>
        <w:ind w:firstLine="709"/>
        <w:jc w:val="both"/>
      </w:pPr>
      <w:r>
        <w:rPr>
          <w:color w:val="auto"/>
          <w:sz w:val="28"/>
          <w:szCs w:val="27"/>
        </w:rPr>
        <w:lastRenderedPageBreak/>
        <w:t>1) </w:t>
      </w:r>
      <w:r>
        <w:rPr>
          <w:rFonts w:eastAsia="Times New Roman" w:cs="Times New Roman"/>
          <w:color w:val="000000" w:themeColor="text1"/>
          <w:sz w:val="28"/>
          <w:szCs w:val="28"/>
          <w:shd w:val="clear" w:color="FFFFFF" w:fill="FFFFFF"/>
          <w:lang w:bidi="ru-RU"/>
        </w:rPr>
        <w:t>в статье 10 таблицу видов территориальных зон дополнить строками следующего содержания:</w:t>
      </w:r>
      <w:r>
        <w:rPr>
          <w:rFonts w:eastAsia="Times New Roman" w:cs="Times New Roman"/>
          <w:color w:val="000000" w:themeColor="text1"/>
          <w:sz w:val="28"/>
          <w:szCs w:val="28"/>
          <w:shd w:val="clear" w:color="FFFFFF" w:fill="FFFFFF"/>
          <w:lang w:bidi="ru-RU"/>
        </w:rPr>
        <w:t xml:space="preserve"> </w:t>
      </w:r>
    </w:p>
    <w:tbl>
      <w:tblPr>
        <w:tblW w:w="9213" w:type="dxa"/>
        <w:tblInd w:w="7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4"/>
        <w:gridCol w:w="7087"/>
        <w:gridCol w:w="142"/>
      </w:tblGrid>
      <w:tr w:rsidR="00541EDD">
        <w:trPr>
          <w:trHeight w:val="504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EFF"/>
            <w:vAlign w:val="center"/>
          </w:tcPr>
          <w:p w:rsidR="00541EDD" w:rsidRDefault="0012429F">
            <w:pPr>
              <w:tabs>
                <w:tab w:val="left" w:pos="1134"/>
              </w:tabs>
              <w:spacing w:line="276" w:lineRule="auto"/>
              <w:ind w:left="709"/>
              <w:rPr>
                <w:rFonts w:eastAsia="Times New Roman" w:cs="Times New Roman"/>
                <w:color w:val="000000" w:themeColor="text1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Cs w:val="26"/>
                <w:shd w:val="clear" w:color="FFFFFF" w:fill="FFFFFF"/>
                <w:lang w:bidi="ru-RU"/>
              </w:rPr>
              <w:t xml:space="preserve">                     «Зоны </w:t>
            </w:r>
            <w:r>
              <w:rPr>
                <w:rFonts w:eastAsia="Times New Roman" w:cs="Times New Roman"/>
                <w:color w:val="000000" w:themeColor="text1"/>
                <w:szCs w:val="26"/>
                <w:shd w:val="clear" w:color="FFFFFF" w:fill="FFFFFF"/>
                <w:lang w:bidi="ru-RU"/>
              </w:rPr>
              <w:t>комплексного развития территории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EFF"/>
            <w:vAlign w:val="center"/>
          </w:tcPr>
          <w:p w:rsidR="00541EDD" w:rsidRDefault="00541EDD">
            <w:pPr>
              <w:rPr>
                <w:color w:val="343434"/>
              </w:rPr>
            </w:pPr>
          </w:p>
        </w:tc>
      </w:tr>
      <w:tr w:rsidR="00541EDD">
        <w:trPr>
          <w:trHeight w:val="58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EFF"/>
            <w:vAlign w:val="center"/>
          </w:tcPr>
          <w:p w:rsidR="00541EDD" w:rsidRDefault="0012429F">
            <w:pPr>
              <w:pStyle w:val="afc"/>
              <w:widowControl w:val="0"/>
              <w:ind w:right="-71"/>
              <w:jc w:val="both"/>
            </w:pPr>
            <w:r>
              <w:rPr>
                <w:rFonts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42545" distB="52705" distL="47625" distR="42545" simplePos="0" relativeHeight="251659264" behindDoc="0" locked="0" layoutInCell="1" allowOverlap="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91440</wp:posOffset>
                      </wp:positionV>
                      <wp:extent cx="681990" cy="299085"/>
                      <wp:effectExtent l="12700" t="12700" r="10160" b="12065"/>
                      <wp:wrapSquare wrapText="bothSides"/>
                      <wp:docPr id="2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1989" cy="2990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9BD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1EDD" w:rsidRDefault="0012429F">
                                  <w:pPr>
                                    <w:pStyle w:val="afc"/>
                                    <w:widowControl w:val="0"/>
                                    <w:ind w:right="-7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КРТ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left:0;text-align:left;margin-left:21.85pt;margin-top:7.2pt;width:53.7pt;height:23.55pt;z-index:251659264;visibility:visible;mso-wrap-style:square;mso-width-percent:0;mso-height-percent:0;mso-wrap-distance-left:3.75pt;mso-wrap-distance-top:3.35pt;mso-wrap-distance-right:3.35pt;mso-wrap-distance-bottom:4.1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" fillcolor="#fb9bd4">
                      <v:stroke joinstyle="round"/>
                      <v:textbox>
                        <w:txbxContent>
                          <w:p w:rsidR="00541EDD" w:rsidRDefault="0012429F">
                            <w:pPr>
                              <w:pStyle w:val="afc"/>
                              <w:widowControl w:val="0"/>
                              <w:ind w:right="-7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КРТ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EFF"/>
            <w:vAlign w:val="center"/>
          </w:tcPr>
          <w:p w:rsidR="00541EDD" w:rsidRDefault="0012429F">
            <w:pPr>
              <w:tabs>
                <w:tab w:val="left" w:pos="1134"/>
              </w:tabs>
              <w:spacing w:line="276" w:lineRule="auto"/>
              <w:ind w:left="709"/>
            </w:pPr>
            <w:r>
              <w:rPr>
                <w:rFonts w:eastAsia="Times New Roman" w:cs="Times New Roman"/>
                <w:color w:val="000000" w:themeColor="text1"/>
                <w:szCs w:val="26"/>
                <w:shd w:val="clear" w:color="FFFFFF" w:fill="FFFFFF"/>
                <w:lang w:bidi="ru-RU"/>
              </w:rPr>
              <w:t>Зона комплексного развития территории (КРТ)»</w:t>
            </w:r>
            <w:r>
              <w:rPr>
                <w:color w:val="484848"/>
                <w:szCs w:val="24"/>
              </w:rPr>
              <w:t xml:space="preserve">                          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EFF"/>
            <w:vAlign w:val="center"/>
          </w:tcPr>
          <w:p w:rsidR="00541EDD" w:rsidRDefault="00541EDD">
            <w:pPr>
              <w:rPr>
                <w:color w:val="343434"/>
              </w:rPr>
            </w:pPr>
          </w:p>
        </w:tc>
      </w:tr>
    </w:tbl>
    <w:p w:rsidR="00541EDD" w:rsidRDefault="0012429F">
      <w:pPr>
        <w:pStyle w:val="ConsPlusNormal1"/>
        <w:tabs>
          <w:tab w:val="left" w:pos="0"/>
          <w:tab w:val="left" w:pos="708"/>
        </w:tabs>
        <w:ind w:firstLine="709"/>
        <w:jc w:val="both"/>
      </w:pPr>
      <w:r>
        <w:rPr>
          <w:rFonts w:ascii="Times New Roman" w:hAnsi="Times New Roman"/>
          <w:color w:val="auto"/>
          <w:sz w:val="28"/>
          <w:szCs w:val="27"/>
        </w:rPr>
        <w:t>2)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shd w:val="clear" w:color="FFFFFF" w:fill="FFFFFF" w:themeFill="background1"/>
        </w:rPr>
        <w:t xml:space="preserve">статью 11 дополнить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shd w:val="clear" w:color="FFFFFF" w:fill="FFFFFF" w:themeFill="background1"/>
        </w:rPr>
        <w:t>пунктом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highlight w:val="white"/>
          <w:shd w:val="clear" w:color="FFFFFF" w:fill="FFFFFF" w:themeFill="background1"/>
        </w:rPr>
        <w:t xml:space="preserve"> 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highlight w:val="white"/>
          <w:shd w:val="clear" w:color="FFFFFF" w:fill="FFFFFF" w:themeFill="background1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highlight w:val="white"/>
          <w:shd w:val="clear" w:color="FFFFFF" w:fill="FFFFFF" w:themeFill="background1"/>
        </w:rPr>
        <w:t xml:space="preserve"> согласно приложению № 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highlight w:val="white"/>
          <w:shd w:val="clear" w:color="FFFFFF" w:fill="FFFFFF" w:themeFill="background1"/>
        </w:rPr>
        <w:br/>
        <w:t>к настоящему постановл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ению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;</w:t>
      </w:r>
    </w:p>
    <w:p w:rsidR="00541EDD" w:rsidRDefault="0012429F">
      <w:pPr>
        <w:pStyle w:val="ConsPlusNormal1"/>
        <w:tabs>
          <w:tab w:val="left" w:pos="0"/>
          <w:tab w:val="left" w:pos="708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7"/>
        </w:rPr>
        <w:t>3) в приложении № 1 согласно приложению № 2 к на</w:t>
      </w:r>
      <w:r>
        <w:rPr>
          <w:rFonts w:ascii="Times New Roman" w:hAnsi="Times New Roman"/>
          <w:color w:val="auto"/>
          <w:sz w:val="28"/>
          <w:szCs w:val="27"/>
        </w:rPr>
        <w:t>стоящему постановлению;</w:t>
      </w:r>
    </w:p>
    <w:p w:rsidR="00541EDD" w:rsidRDefault="0012429F">
      <w:pPr>
        <w:pStyle w:val="ConsPlusNormal1"/>
        <w:tabs>
          <w:tab w:val="left" w:pos="0"/>
          <w:tab w:val="left" w:pos="708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7"/>
        </w:rPr>
        <w:t>4) в приложении № 2:</w:t>
      </w:r>
    </w:p>
    <w:p w:rsidR="00541EDD" w:rsidRDefault="0012429F">
      <w:pPr>
        <w:pStyle w:val="ConsPlusNormal1"/>
        <w:tabs>
          <w:tab w:val="left" w:pos="0"/>
          <w:tab w:val="left" w:pos="708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7"/>
        </w:rPr>
        <w:t xml:space="preserve">а) графическое описание местоположения границ территориальной зоны </w:t>
      </w:r>
      <w:r>
        <w:rPr>
          <w:rFonts w:ascii="Times New Roman" w:hAnsi="Times New Roman"/>
          <w:color w:val="auto"/>
          <w:sz w:val="28"/>
          <w:szCs w:val="28"/>
        </w:rPr>
        <w:t>«4.2 Зона сельскохозяйственного использования»</w:t>
      </w:r>
      <w:r>
        <w:rPr>
          <w:rFonts w:ascii="Times New Roman" w:hAnsi="Times New Roman"/>
          <w:color w:val="auto"/>
          <w:sz w:val="28"/>
          <w:szCs w:val="27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(местоположение объекта: Рязанская область, м.р-н Рыбновский, с.п. Баграмовское)</w:t>
      </w:r>
      <w:r>
        <w:rPr>
          <w:rFonts w:ascii="Times New Roman" w:hAnsi="Times New Roman"/>
          <w:color w:val="auto"/>
          <w:sz w:val="28"/>
          <w:szCs w:val="27"/>
        </w:rPr>
        <w:t xml:space="preserve"> изложить в редакции согласно приложению № 3 к настоящему постановлению;</w:t>
      </w:r>
    </w:p>
    <w:p w:rsidR="00541EDD" w:rsidRDefault="0012429F">
      <w:pPr>
        <w:pStyle w:val="ConsPlusNormal1"/>
        <w:tabs>
          <w:tab w:val="left" w:pos="0"/>
          <w:tab w:val="left" w:pos="708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7"/>
        </w:rPr>
        <w:t>б)</w:t>
      </w:r>
      <w:r>
        <w:rPr>
          <w:rFonts w:ascii="Times New Roman" w:hAnsi="Times New Roman"/>
          <w:color w:val="auto"/>
          <w:sz w:val="28"/>
          <w:szCs w:val="28"/>
        </w:rPr>
        <w:t> дополнить графическим описанием местоположения границ территориальной зоны «КРТ Зона комплексного развития территории (населенный пункт с. Горяйново)» согласно приложению № 4 к нас</w:t>
      </w:r>
      <w:r>
        <w:rPr>
          <w:rFonts w:ascii="Times New Roman" w:hAnsi="Times New Roman"/>
          <w:color w:val="auto"/>
          <w:sz w:val="28"/>
          <w:szCs w:val="28"/>
        </w:rPr>
        <w:t>тоящему постановлению.</w:t>
      </w:r>
    </w:p>
    <w:p w:rsidR="00541EDD" w:rsidRDefault="0012429F" w:rsidP="0012429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541EDD" w:rsidRDefault="0012429F" w:rsidP="0012429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541EDD" w:rsidRDefault="0012429F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1) обеспечит</w:t>
      </w:r>
      <w:r>
        <w:rPr>
          <w:color w:val="auto"/>
          <w:sz w:val="28"/>
          <w:szCs w:val="28"/>
        </w:rPr>
        <w:t>ь доступ к изменениям в правила землепользования</w:t>
      </w:r>
      <w:r>
        <w:rPr>
          <w:color w:val="auto"/>
          <w:sz w:val="28"/>
          <w:szCs w:val="28"/>
        </w:rPr>
        <w:br/>
        <w:t xml:space="preserve">и застройки муниципального образования – </w:t>
      </w:r>
      <w:r>
        <w:rPr>
          <w:color w:val="auto"/>
          <w:sz w:val="28"/>
          <w:szCs w:val="28"/>
        </w:rPr>
        <w:t>Баграмовское се</w:t>
      </w:r>
      <w:r>
        <w:rPr>
          <w:sz w:val="28"/>
        </w:rPr>
        <w:t>льское</w:t>
      </w:r>
      <w:r>
        <w:rPr>
          <w:color w:val="auto"/>
          <w:sz w:val="28"/>
          <w:szCs w:val="28"/>
        </w:rPr>
        <w:t xml:space="preserve"> поселение Рыбновского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</w:t>
      </w:r>
      <w:r>
        <w:rPr>
          <w:color w:val="auto"/>
          <w:sz w:val="28"/>
          <w:szCs w:val="28"/>
        </w:rPr>
        <w:t xml:space="preserve">                 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541EDD" w:rsidRDefault="0012429F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>подготовить</w:t>
      </w:r>
      <w:r>
        <w:rPr>
          <w:rFonts w:cs="Times New Roman"/>
          <w:color w:val="auto"/>
          <w:sz w:val="28"/>
          <w:szCs w:val="28"/>
        </w:rPr>
        <w:t>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</w:t>
      </w:r>
      <w:r>
        <w:rPr>
          <w:rFonts w:cs="Times New Roman"/>
          <w:color w:val="auto"/>
          <w:sz w:val="28"/>
          <w:szCs w:val="28"/>
        </w:rPr>
        <w:t xml:space="preserve">ной регистрации прав, ведение Единого государственного реестра недвижимости, сведения о границах территориальных зон для внесения  </w:t>
      </w:r>
      <w:r w:rsidRPr="002842ED">
        <w:rPr>
          <w:rFonts w:cs="Times New Roman"/>
          <w:color w:val="auto"/>
          <w:sz w:val="28"/>
          <w:szCs w:val="28"/>
        </w:rPr>
        <w:t xml:space="preserve">                      </w:t>
      </w:r>
      <w:r>
        <w:rPr>
          <w:rFonts w:cs="Times New Roman"/>
          <w:color w:val="auto"/>
          <w:sz w:val="28"/>
          <w:szCs w:val="28"/>
        </w:rPr>
        <w:t xml:space="preserve">в Единый государственный реестр недвижимости в соответствии   </w:t>
      </w:r>
      <w:r w:rsidRPr="002842ED">
        <w:rPr>
          <w:rFonts w:cs="Times New Roman"/>
          <w:color w:val="auto"/>
          <w:sz w:val="28"/>
          <w:szCs w:val="28"/>
        </w:rPr>
        <w:t xml:space="preserve">                                 </w:t>
      </w:r>
      <w:r>
        <w:rPr>
          <w:rFonts w:cs="Times New Roman"/>
          <w:color w:val="auto"/>
          <w:sz w:val="28"/>
          <w:szCs w:val="28"/>
        </w:rPr>
        <w:t>с Федера</w:t>
      </w:r>
      <w:r>
        <w:rPr>
          <w:rFonts w:cs="Times New Roman"/>
          <w:color w:val="auto"/>
          <w:sz w:val="28"/>
          <w:szCs w:val="28"/>
        </w:rPr>
        <w:t>льным законом от 13.07.2015 № 218-ФЗ «О государственной регистрации недвижимости»</w:t>
      </w:r>
      <w:r>
        <w:rPr>
          <w:color w:val="auto"/>
          <w:sz w:val="28"/>
          <w:szCs w:val="28"/>
        </w:rPr>
        <w:t>.</w:t>
      </w:r>
    </w:p>
    <w:p w:rsidR="00541EDD" w:rsidRDefault="0012429F" w:rsidP="0012429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541EDD" w:rsidRDefault="0012429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  государственную регистрацию настоящего постановления в правовом департаменте аппарата Губернатора и Правительства </w:t>
      </w:r>
      <w:r>
        <w:rPr>
          <w:rFonts w:ascii="Times New Roman" w:hAnsi="Times New Roman"/>
          <w:color w:val="auto"/>
          <w:sz w:val="28"/>
          <w:szCs w:val="28"/>
        </w:rPr>
        <w:t>Рязанской области;</w:t>
      </w:r>
    </w:p>
    <w:p w:rsidR="00541EDD" w:rsidRDefault="0012429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541EDD" w:rsidRDefault="0012429F" w:rsidP="0012429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lastRenderedPageBreak/>
        <w:t>Отделу информационного обеспечения градостроительной деятел</w:t>
      </w:r>
      <w:r>
        <w:rPr>
          <w:color w:val="auto"/>
          <w:sz w:val="28"/>
          <w:szCs w:val="28"/>
        </w:rPr>
        <w:t>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541EDD" w:rsidRDefault="0012429F" w:rsidP="0012429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Рыбновский муниципальный район Рязанской </w:t>
      </w:r>
      <w:r>
        <w:rPr>
          <w:color w:val="auto"/>
          <w:sz w:val="28"/>
          <w:szCs w:val="28"/>
        </w:rPr>
        <w:t xml:space="preserve">области, главе муниципального образования – </w:t>
      </w:r>
      <w:r>
        <w:rPr>
          <w:color w:val="auto"/>
          <w:sz w:val="28"/>
          <w:szCs w:val="28"/>
        </w:rPr>
        <w:t>Баграмовское се</w:t>
      </w:r>
      <w:r>
        <w:rPr>
          <w:sz w:val="28"/>
        </w:rPr>
        <w:t>льское</w:t>
      </w:r>
      <w:r>
        <w:rPr>
          <w:color w:val="auto"/>
          <w:sz w:val="28"/>
          <w:szCs w:val="28"/>
        </w:rPr>
        <w:t xml:space="preserve"> поселение Рыбновского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 xml:space="preserve">на официальном сайте муниципального образования в сети «Интернет», публикацию в </w:t>
      </w:r>
      <w:r>
        <w:rPr>
          <w:color w:val="auto"/>
          <w:sz w:val="28"/>
          <w:szCs w:val="28"/>
        </w:rPr>
        <w:t>средствах массовой информации.</w:t>
      </w:r>
    </w:p>
    <w:p w:rsidR="00541EDD" w:rsidRDefault="0012429F" w:rsidP="0012429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541EDD" w:rsidRDefault="00541EDD">
      <w:pPr>
        <w:widowControl w:val="0"/>
        <w:ind w:firstLine="850"/>
        <w:jc w:val="both"/>
        <w:rPr>
          <w:color w:val="auto"/>
          <w:sz w:val="28"/>
        </w:rPr>
      </w:pPr>
    </w:p>
    <w:p w:rsidR="00541EDD" w:rsidRDefault="00541EDD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541EDD" w:rsidRDefault="0012429F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 xml:space="preserve">Начальник                     </w:t>
      </w:r>
      <w:r>
        <w:rPr>
          <w:color w:val="auto"/>
          <w:sz w:val="28"/>
        </w:rPr>
        <w:t xml:space="preserve">                                                                               Р.В. Шашкин</w:t>
      </w:r>
    </w:p>
    <w:p w:rsidR="00541EDD" w:rsidRDefault="00541EDD"/>
    <w:sectPr w:rsidR="00541EDD">
      <w:headerReference w:type="default" r:id="rId9"/>
      <w:pgSz w:w="11906" w:h="16838"/>
      <w:pgMar w:top="964" w:right="567" w:bottom="96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29F" w:rsidRDefault="0012429F">
      <w:r>
        <w:separator/>
      </w:r>
    </w:p>
  </w:endnote>
  <w:endnote w:type="continuationSeparator" w:id="0">
    <w:p w:rsidR="0012429F" w:rsidRDefault="0012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29F" w:rsidRDefault="0012429F">
      <w:r>
        <w:separator/>
      </w:r>
    </w:p>
  </w:footnote>
  <w:footnote w:type="continuationSeparator" w:id="0">
    <w:p w:rsidR="0012429F" w:rsidRDefault="00124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EDD" w:rsidRDefault="0012429F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2842ED" w:rsidRPr="002842ED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541EDD" w:rsidRDefault="00541EDD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26E73"/>
    <w:multiLevelType w:val="multilevel"/>
    <w:tmpl w:val="99C6ACC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7B774D5C"/>
    <w:multiLevelType w:val="hybridMultilevel"/>
    <w:tmpl w:val="0D84D6E2"/>
    <w:lvl w:ilvl="0" w:tplc="1396E9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C17418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7507C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370FA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20EAF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61EC6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93E5B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7C09C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86612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DD"/>
    <w:rsid w:val="0012429F"/>
    <w:rsid w:val="002842ED"/>
    <w:rsid w:val="0054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DD9A4"/>
  <w15:docId w15:val="{1A769A2B-B6C8-4A91-857F-B4F2E7D4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afa">
    <w:name w:val="Цветовое выделение для Текст"/>
    <w:qFormat/>
  </w:style>
  <w:style w:type="paragraph" w:customStyle="1" w:styleId="100">
    <w:name w:val="Заголовок 10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0"/>
      </w:tabs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  <w:style w:type="paragraph" w:customStyle="1" w:styleId="afb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c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ind w:firstLine="709"/>
      <w:jc w:val="both"/>
    </w:pPr>
    <w:rPr>
      <w:rFonts w:ascii="Times New Roman" w:eastAsia="Calibri" w:hAnsi="Times New Roman" w:cs="Calibri"/>
      <w:color w:val="auto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865</Words>
  <Characters>4934</Characters>
  <Application>Microsoft Office Word</Application>
  <DocSecurity>0</DocSecurity>
  <Lines>41</Lines>
  <Paragraphs>11</Paragraphs>
  <ScaleCrop>false</ScaleCrop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202</cp:revision>
  <dcterms:created xsi:type="dcterms:W3CDTF">2025-09-25T14:04:00Z</dcterms:created>
  <dcterms:modified xsi:type="dcterms:W3CDTF">2025-09-25T14:08:00Z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