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 w:val="0"/>
        <w:ind w:left="0" w:right="0" w:firstLine="5669"/>
        <w:jc w:val="left"/>
        <w:spacing w:before="0" w:after="0" w:line="283" w:lineRule="atLeast"/>
        <w:rPr>
          <w:rFonts w:ascii="Times New Roman" w:hAnsi="Times New Roman" w:cs="Times New Roman"/>
          <w:color w:val="auto"/>
        </w:rPr>
        <w:suppressLineNumbers w:val="0"/>
      </w:pPr>
      <w:r>
        <w:rPr>
          <w:rFonts w:ascii="Times New Roman" w:hAnsi="Times New Roman" w:eastAsia="Times New Roman" w:cs="Times New Roman"/>
          <w:color w:val="auto"/>
        </w:rPr>
        <w:t xml:space="preserve">Приложение № 2</w:t>
      </w:r>
      <w:r>
        <w:rPr>
          <w:rFonts w:ascii="Times New Roman" w:hAnsi="Times New Roman" w:cs="Times New Roman"/>
          <w:color w:val="auto"/>
        </w:rPr>
      </w:r>
      <w:r>
        <w:rPr>
          <w:rFonts w:ascii="Times New Roman" w:hAnsi="Times New Roman" w:cs="Times New Roman"/>
          <w:color w:val="auto"/>
        </w:rPr>
      </w:r>
    </w:p>
    <w:p>
      <w:pPr>
        <w:contextualSpacing w:val="0"/>
        <w:ind w:left="0" w:right="0" w:firstLine="5669"/>
        <w:jc w:val="left"/>
        <w:spacing w:before="0" w:after="0" w:line="283" w:lineRule="atLeast"/>
        <w:rPr>
          <w:rFonts w:ascii="Times New Roman" w:hAnsi="Times New Roman" w:cs="Times New Roman"/>
          <w:color w:val="auto"/>
        </w:rPr>
        <w:suppressLineNumbers w:val="0"/>
      </w:pPr>
      <w:r>
        <w:rPr>
          <w:rFonts w:ascii="Times New Roman" w:hAnsi="Times New Roman" w:eastAsia="Times New Roman" w:cs="Times New Roman"/>
          <w:color w:val="auto"/>
        </w:rPr>
        <w:t xml:space="preserve">к постановлению главного управления</w:t>
      </w:r>
      <w:r>
        <w:rPr>
          <w:rFonts w:ascii="Times New Roman" w:hAnsi="Times New Roman" w:cs="Times New Roman"/>
          <w:color w:val="auto"/>
        </w:rPr>
      </w:r>
      <w:r>
        <w:rPr>
          <w:rFonts w:ascii="Times New Roman" w:hAnsi="Times New Roman" w:cs="Times New Roman"/>
          <w:color w:val="auto"/>
        </w:rPr>
      </w:r>
    </w:p>
    <w:p>
      <w:pPr>
        <w:contextualSpacing w:val="0"/>
        <w:ind w:left="0" w:right="0" w:firstLine="5669"/>
        <w:jc w:val="left"/>
        <w:spacing w:before="0" w:after="0" w:line="283" w:lineRule="atLeast"/>
        <w:rPr>
          <w:rFonts w:ascii="Times New Roman" w:hAnsi="Times New Roman" w:cs="Times New Roman"/>
          <w:color w:val="auto"/>
        </w:rPr>
        <w:suppressLineNumbers w:val="0"/>
      </w:pPr>
      <w:r>
        <w:rPr>
          <w:rFonts w:ascii="Times New Roman" w:hAnsi="Times New Roman" w:eastAsia="Times New Roman" w:cs="Times New Roman"/>
          <w:color w:val="auto"/>
        </w:rPr>
        <w:t xml:space="preserve">архитектуры и градостроительства</w:t>
      </w:r>
      <w:r>
        <w:rPr>
          <w:rFonts w:ascii="Times New Roman" w:hAnsi="Times New Roman" w:cs="Times New Roman"/>
          <w:color w:val="auto"/>
        </w:rPr>
      </w:r>
      <w:r>
        <w:rPr>
          <w:rFonts w:ascii="Times New Roman" w:hAnsi="Times New Roman" w:cs="Times New Roman"/>
          <w:color w:val="auto"/>
        </w:rPr>
      </w:r>
    </w:p>
    <w:p>
      <w:pPr>
        <w:contextualSpacing w:val="0"/>
        <w:ind w:left="0" w:right="0" w:firstLine="5669"/>
        <w:jc w:val="left"/>
        <w:spacing w:before="0" w:after="0" w:line="283" w:lineRule="atLeast"/>
        <w:rPr>
          <w:rFonts w:ascii="Times New Roman" w:hAnsi="Times New Roman" w:cs="Times New Roman"/>
          <w:color w:val="auto"/>
        </w:rPr>
        <w:suppressLineNumbers w:val="0"/>
      </w:pPr>
      <w:r>
        <w:rPr>
          <w:rFonts w:ascii="Times New Roman" w:hAnsi="Times New Roman" w:eastAsia="Times New Roman" w:cs="Times New Roman"/>
          <w:color w:val="auto"/>
        </w:rPr>
        <w:t xml:space="preserve">Рязанской области</w:t>
      </w:r>
      <w:r>
        <w:rPr>
          <w:rFonts w:ascii="Times New Roman" w:hAnsi="Times New Roman" w:cs="Times New Roman"/>
          <w:color w:val="auto"/>
        </w:rPr>
      </w:r>
      <w:r>
        <w:rPr>
          <w:rFonts w:ascii="Times New Roman" w:hAnsi="Times New Roman" w:cs="Times New Roman"/>
          <w:color w:val="auto"/>
        </w:rPr>
      </w:r>
    </w:p>
    <w:p>
      <w:pPr>
        <w:contextualSpacing w:val="0"/>
        <w:ind w:left="0" w:right="0" w:firstLine="5669"/>
        <w:jc w:val="left"/>
        <w:spacing w:after="0" w:line="283" w:lineRule="atLeast"/>
        <w:rPr>
          <w:rFonts w:ascii="Times New Roman" w:hAnsi="Times New Roman" w:eastAsia="Times New Roman" w:cs="Times New Roman"/>
          <w:highlight w:val="none"/>
        </w:rPr>
        <w:suppressLineNumbers w:val="0"/>
      </w:pPr>
      <w:r>
        <w:rPr>
          <w:rFonts w:ascii="Times New Roman" w:hAnsi="Times New Roman" w:eastAsia="Times New Roman" w:cs="Times New Roman"/>
        </w:rPr>
        <w:t xml:space="preserve">от 25 сентября 2025 г. № 819-п    </w:t>
      </w:r>
      <w:r>
        <w:rPr>
          <w:rFonts w:ascii="Times New Roman" w:hAnsi="Times New Roman" w:eastAsia="Times New Roman" w:cs="Times New Roman"/>
        </w:rPr>
        <w:t xml:space="preserve">                  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highlight w:val="none"/>
        </w:rPr>
      </w:r>
    </w:p>
    <w:p>
      <w:pPr>
        <w:ind w:left="0" w:right="0" w:firstLine="142"/>
        <w:jc w:val="left"/>
        <w:spacing w:after="0" w:line="283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40"/>
          <w:highlight w:val="none"/>
        </w:rPr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829"/>
        <w:numPr>
          <w:ilvl w:val="0"/>
          <w:numId w:val="0"/>
        </w:numPr>
        <w:ind w:left="-397" w:right="-113" w:firstLine="397"/>
        <w:jc w:val="both"/>
        <w:spacing w:before="0" w:beforeAutospacing="0" w:after="0" w:afterAutospacing="0" w:line="240" w:lineRule="auto"/>
        <w:widowControl/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eastAsia="zh-CN" w:bidi="ar-SA"/>
        </w:rPr>
        <w:outlineLvl w:val="0"/>
      </w:pP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lang w:eastAsia="zh-CN" w:bidi="ar-SA"/>
        </w:rPr>
        <w:t xml:space="preserve">«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eastAsia="zh-CN" w:bidi="ar-SA"/>
        </w:rPr>
        <w:t xml:space="preserve">5.1. 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eastAsia="zh-CN" w:bidi="ar-SA"/>
        </w:rPr>
        <w:t xml:space="preserve">СН-1 Зона кладбищ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eastAsia="zh-CN" w:bidi="ar-SA"/>
        </w:rPr>
      </w:r>
    </w:p>
    <w:p>
      <w:pPr>
        <w:pStyle w:val="829"/>
        <w:ind w:left="-425" w:right="-141" w:firstLine="567"/>
        <w:jc w:val="both"/>
        <w:spacing w:before="0" w:after="0" w:line="240" w:lineRule="auto"/>
        <w:widowControl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</w:rPr>
      </w:r>
    </w:p>
    <w:p>
      <w:pPr>
        <w:pStyle w:val="829"/>
        <w:contextualSpacing w:val="0"/>
        <w:ind w:left="-425" w:right="-283" w:firstLine="425"/>
        <w:jc w:val="both"/>
        <w:spacing w:before="0" w:beforeAutospacing="0" w:after="0" w:afterAutospacing="0" w:line="240" w:lineRule="auto"/>
        <w:widowControl/>
        <w:rPr>
          <w:rFonts w:ascii="Times New Roman" w:hAnsi="Times New Roman" w:cs="Times New Roman"/>
          <w:color w:val="auto"/>
        </w:rPr>
        <w:suppressLineNumbers w:val="0"/>
      </w:pP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lang w:eastAsia="zh-CN" w:bidi="ar-SA"/>
        </w:rPr>
        <w:t xml:space="preserve">Зона кладбищ выделена для обеспечения правовых условий использования территорий, занятых кладбищами.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</w:rPr>
      </w:r>
    </w:p>
    <w:p>
      <w:pPr>
        <w:pStyle w:val="829"/>
        <w:contextualSpacing w:val="0"/>
        <w:ind w:left="-425" w:right="-283" w:firstLine="425"/>
        <w:jc w:val="both"/>
        <w:spacing w:before="0" w:beforeAutospacing="0" w:after="0" w:afterAutospacing="0" w:line="240" w:lineRule="auto"/>
        <w:widowControl/>
        <w:rPr>
          <w:rFonts w:ascii="Times New Roman" w:hAnsi="Times New Roman" w:cs="Times New Roman"/>
          <w:color w:val="auto"/>
        </w:rPr>
        <w:suppressLineNumbers w:val="0"/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zh-CN" w:bidi="ar-SA"/>
        </w:rPr>
        <w:t xml:space="preserve">Виды разрешенного использования земельных участков и объектов капитального строительства в зоне «</w:t>
      </w: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lang w:eastAsia="zh-CN" w:bidi="ar-SA"/>
        </w:rPr>
        <w:t xml:space="preserve">СН-1 Зона кладбищ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zh-CN" w:bidi="ar-SA"/>
        </w:rPr>
        <w:t xml:space="preserve">» представлены </w:t>
        <w:br/>
        <w:t xml:space="preserve">в таблице 3.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</w:rPr>
      </w:r>
    </w:p>
    <w:p>
      <w:pPr>
        <w:pStyle w:val="835"/>
        <w:contextualSpacing w:val="0"/>
        <w:ind w:right="-283"/>
        <w:jc w:val="right"/>
        <w:rPr>
          <w:rFonts w:cs="Times New Roman"/>
          <w:color w:val="auto"/>
        </w:rPr>
        <w:suppressLineNumbers w:val="0"/>
      </w:pPr>
      <w:r>
        <w:rPr>
          <w:rFonts w:eastAsia="NSimSun" w:cs="Times New Roman"/>
          <w:color w:val="auto"/>
          <w:sz w:val="28"/>
          <w:szCs w:val="28"/>
          <w:lang w:eastAsia="zh-CN" w:bidi="ar-SA"/>
        </w:rPr>
        <w:t xml:space="preserve">Таблица </w:t>
      </w:r>
      <w:r>
        <w:rPr>
          <w:rFonts w:cs="Times New Roman"/>
          <w:color w:val="auto"/>
          <w:sz w:val="28"/>
          <w:szCs w:val="28"/>
        </w:rPr>
        <w:t xml:space="preserve">3</w:t>
      </w:r>
      <w:r>
        <w:rPr>
          <w:rFonts w:cs="Times New Roman"/>
          <w:color w:val="auto"/>
        </w:rPr>
      </w:r>
    </w:p>
    <w:tbl>
      <w:tblPr>
        <w:tblW w:w="10063" w:type="dxa"/>
        <w:tblInd w:w="-425" w:type="dxa"/>
        <w:tblLayout w:type="fixed"/>
        <w:tblCellMar>
          <w:left w:w="5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3543"/>
        <w:gridCol w:w="4107"/>
        <w:gridCol w:w="2413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 w:val="off"/>
              <w:rPr>
                <w:color w:val="auto"/>
              </w:rPr>
            </w:pPr>
            <w:r>
              <w:t xml:space="preserve">Вид разрешенного использования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10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 w:val="off"/>
              <w:rPr>
                <w:color w:val="auto"/>
              </w:rPr>
            </w:pPr>
            <w:r>
              <w:t xml:space="preserve">Наименование вида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836"/>
              <w:jc w:val="center"/>
              <w:spacing w:before="0" w:after="0"/>
              <w:widowControl w:val="off"/>
              <w:rPr>
                <w:color w:val="auto"/>
              </w:rPr>
            </w:pPr>
            <w:r>
              <w:t xml:space="preserve">разрешенного использования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 w:val="off"/>
              <w:rPr>
                <w:color w:val="auto"/>
              </w:rPr>
            </w:pPr>
            <w:r>
              <w:t xml:space="preserve">Код вида разрешенного использования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pStyle w:val="836"/>
              <w:spacing w:before="0" w:after="0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Основные виды разрешенного использования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107" w:type="dxa"/>
            <w:textDirection w:val="lrTb"/>
            <w:noWrap w:val="false"/>
          </w:tcPr>
          <w:p>
            <w:pPr>
              <w:pStyle w:val="836"/>
              <w:spacing w:before="0" w:after="0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ритуальная деятельность.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3" w:type="dxa"/>
            <w:textDirection w:val="lrTb"/>
            <w:noWrap w:val="false"/>
          </w:tcPr>
          <w:p>
            <w:pPr>
              <w:pStyle w:val="836"/>
              <w:ind w:left="0" w:righ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12.1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pStyle w:val="836"/>
              <w:spacing w:before="0" w:after="0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Условно разрешенные виды использования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107" w:type="dxa"/>
            <w:textDirection w:val="lrTb"/>
            <w:noWrap w:val="false"/>
          </w:tcPr>
          <w:p>
            <w:pPr>
              <w:pStyle w:val="836"/>
              <w:spacing w:before="0" w:after="0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не подлежат установлению.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3" w:type="dxa"/>
            <w:textDirection w:val="lrTb"/>
            <w:noWrap w:val="false"/>
          </w:tcPr>
          <w:p>
            <w:pPr>
              <w:pStyle w:val="836"/>
              <w:ind w:left="0" w:righ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-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pStyle w:val="836"/>
              <w:spacing w:before="0" w:after="0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Вспомогательные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836"/>
              <w:spacing w:before="0" w:after="0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виды разрешенного использования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107" w:type="dxa"/>
            <w:textDirection w:val="lrTb"/>
            <w:noWrap w:val="false"/>
          </w:tcPr>
          <w:p>
            <w:pPr>
              <w:pStyle w:val="836"/>
              <w:spacing w:before="0" w:after="0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не подлежат установлению.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3" w:type="dxa"/>
            <w:textDirection w:val="lrTb"/>
            <w:noWrap w:val="false"/>
          </w:tcPr>
          <w:p>
            <w:pPr>
              <w:pStyle w:val="836"/>
              <w:ind w:left="0" w:righ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-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</w:tbl>
    <w:p>
      <w:pPr>
        <w:pStyle w:val="835"/>
        <w:jc w:val="right"/>
      </w:pPr>
      <w:r/>
      <w:r/>
    </w:p>
    <w:p>
      <w:pPr>
        <w:pStyle w:val="829"/>
        <w:contextualSpacing w:val="0"/>
        <w:ind w:left="-425" w:right="-283" w:firstLine="425"/>
        <w:jc w:val="both"/>
        <w:spacing w:before="0" w:beforeAutospacing="0" w:after="0" w:afterAutospacing="0" w:line="240" w:lineRule="auto"/>
        <w:widowControl/>
        <w:rPr>
          <w:rFonts w:ascii="Times New Roman" w:hAnsi="Times New Roman" w:cs="Times New Roman"/>
          <w:color w:val="auto"/>
        </w:rPr>
        <w:suppressLineNumbers w:val="0"/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zh-CN" w:bidi="ar-SA"/>
        </w:rPr>
        <w:t xml:space="preserve">Предельные размеры земельных участков, в том числе их площадь, и предельные параметры разрешенного строительства, реконструкции объектов капитального строительства в зоне «</w:t>
      </w: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lang w:eastAsia="zh-CN" w:bidi="ar-SA"/>
        </w:rPr>
        <w:t xml:space="preserve">СН-1 Зона кладбищ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zh-CN" w:bidi="ar-SA"/>
        </w:rPr>
        <w:t xml:space="preserve">» представлены в таблице 4.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</w:rPr>
      </w:r>
    </w:p>
    <w:p>
      <w:pPr>
        <w:pStyle w:val="835"/>
        <w:contextualSpacing w:val="0"/>
        <w:ind w:right="-283"/>
        <w:jc w:val="right"/>
        <w:spacing w:line="240" w:lineRule="auto"/>
        <w:rPr>
          <w:rFonts w:cs="Times New Roman"/>
          <w:color w:val="auto"/>
        </w:rPr>
        <w:suppressLineNumbers w:val="0"/>
      </w:pPr>
      <w:r>
        <w:rPr>
          <w:rFonts w:eastAsia="NSimSun" w:cs="Times New Roman"/>
          <w:color w:val="auto"/>
          <w:sz w:val="28"/>
          <w:szCs w:val="28"/>
          <w:lang w:eastAsia="zh-CN" w:bidi="ar-SA"/>
        </w:rPr>
        <w:t xml:space="preserve">Таблица </w:t>
      </w:r>
      <w:r>
        <w:rPr>
          <w:rFonts w:cs="Times New Roman"/>
          <w:color w:val="auto"/>
          <w:sz w:val="28"/>
          <w:szCs w:val="28"/>
        </w:rPr>
        <w:t xml:space="preserve">4</w:t>
      </w:r>
      <w:r>
        <w:rPr>
          <w:rFonts w:cs="Times New Roman"/>
          <w:color w:val="auto"/>
        </w:rPr>
      </w:r>
    </w:p>
    <w:tbl>
      <w:tblPr>
        <w:tblW w:w="10063" w:type="dxa"/>
        <w:tblInd w:w="-425" w:type="dxa"/>
        <w:tblLayout w:type="fixed"/>
        <w:tblCellMar>
          <w:left w:w="5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1272"/>
        <w:gridCol w:w="854"/>
        <w:gridCol w:w="1134"/>
        <w:gridCol w:w="1133"/>
        <w:gridCol w:w="1134"/>
        <w:gridCol w:w="1421"/>
        <w:gridCol w:w="1704"/>
        <w:gridCol w:w="1409"/>
      </w:tblGrid>
      <w:tr>
        <w:tblPrEx/>
        <w:trPr>
          <w:trHeight w:val="791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72" w:type="dxa"/>
            <w:vMerge w:val="restart"/>
            <w:textDirection w:val="lrTb"/>
            <w:noWrap w:val="false"/>
          </w:tcPr>
          <w:p>
            <w:pPr>
              <w:pStyle w:val="836"/>
              <w:ind w:left="0" w:righ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t xml:space="preserve">Код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836"/>
              <w:ind w:left="0" w:righ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t xml:space="preserve">вида раз-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836"/>
              <w:ind w:left="0" w:righ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t xml:space="preserve">решенного исполь-зования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8" w:type="dxa"/>
            <w:textDirection w:val="lrTb"/>
            <w:noWrap w:val="false"/>
          </w:tcPr>
          <w:p>
            <w:pPr>
              <w:pStyle w:val="836"/>
              <w:ind w:left="0" w:right="0" w:firstLine="0"/>
              <w:jc w:val="center"/>
              <w:spacing w:before="0" w:after="0"/>
              <w:widowControl w:val="off"/>
            </w:pPr>
            <w:r>
              <w:rPr>
                <w:rFonts w:eastAsia="Calibri" w:cs="Calibri"/>
                <w:color w:val="auto"/>
                <w:lang w:eastAsia="zh-CN" w:bidi="ar-SA"/>
              </w:rPr>
              <w:t xml:space="preserve">Размер </w:t>
            </w:r>
            <w:r>
              <w:t xml:space="preserve">земельного</w:t>
            </w:r>
            <w:r/>
          </w:p>
          <w:p>
            <w:pPr>
              <w:pStyle w:val="836"/>
              <w:ind w:left="0" w:right="0" w:firstLine="0"/>
              <w:jc w:val="center"/>
              <w:spacing w:before="0" w:after="0"/>
              <w:widowControl w:val="off"/>
            </w:pPr>
            <w:r>
              <w:t xml:space="preserve"> </w:t>
            </w:r>
            <w:r>
              <w:t xml:space="preserve">участка (м)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pStyle w:val="836"/>
              <w:ind w:left="0" w:righ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Площадь земельного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836"/>
              <w:ind w:left="0" w:righ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участка (</w:t>
            </w:r>
            <w:r>
              <w:rPr>
                <w:rFonts w:eastAsia="Calibri" w:cs="Calibri"/>
                <w:color w:val="auto"/>
                <w:lang w:eastAsia="zh-CN" w:bidi="ar-SA"/>
              </w:rPr>
              <w:t xml:space="preserve">кв.м</w:t>
            </w:r>
            <w:r>
              <w:rPr>
                <w:color w:val="auto"/>
              </w:rPr>
              <w:t xml:space="preserve">)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21" w:type="dxa"/>
            <w:vMerge w:val="restart"/>
            <w:textDirection w:val="lrTb"/>
            <w:noWrap w:val="false"/>
          </w:tcPr>
          <w:p>
            <w:pPr>
              <w:pStyle w:val="836"/>
              <w:ind w:left="0" w:righ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Минималь-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836"/>
              <w:ind w:left="0" w:righ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ный отступ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836"/>
              <w:ind w:left="0" w:righ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от границ земельного участка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836"/>
              <w:ind w:left="0" w:righ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(м)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04" w:type="dxa"/>
            <w:vMerge w:val="restart"/>
            <w:textDirection w:val="lrTb"/>
            <w:noWrap w:val="false"/>
          </w:tcPr>
          <w:p>
            <w:pPr>
              <w:pStyle w:val="836"/>
              <w:ind w:left="0" w:righ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t xml:space="preserve">Предельное количество этажей/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836"/>
              <w:ind w:left="0" w:righ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t xml:space="preserve">предельная высота зданий, строений, сооружений (м)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9" w:type="dxa"/>
            <w:vMerge w:val="restart"/>
            <w:textDirection w:val="lrTb"/>
            <w:noWrap w:val="false"/>
          </w:tcPr>
          <w:p>
            <w:pPr>
              <w:pStyle w:val="836"/>
              <w:ind w:left="0" w:righ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Максималь-ный процент застройки в границах земельного участка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836"/>
              <w:ind w:left="-28" w:righ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rFonts w:eastAsia="Calibri"/>
                <w:lang w:eastAsia="zh-CN" w:bidi="ar-SA"/>
              </w:rPr>
              <w:t xml:space="preserve">(%)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>
          <w:trHeight w:val="1153" w:hRule="exact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72" w:type="dxa"/>
            <w:vAlign w:val="center"/>
            <w:vMerge w:val="continue"/>
            <w:textDirection w:val="lrTb"/>
            <w:noWrap w:val="false"/>
          </w:tcPr>
          <w:p>
            <w:pPr>
              <w:pStyle w:val="829"/>
              <w:spacing w:before="0" w:after="200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4" w:type="dxa"/>
            <w:textDirection w:val="lrTb"/>
            <w:noWrap w:val="false"/>
          </w:tcPr>
          <w:p>
            <w:pPr>
              <w:pStyle w:val="836"/>
              <w:ind w:left="0" w:righ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Мин.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36"/>
              <w:ind w:left="0" w:righ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Макс.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pStyle w:val="836"/>
              <w:ind w:left="0" w:righ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Мин.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36"/>
              <w:ind w:left="0" w:righ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Макс.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21" w:type="dxa"/>
            <w:vAlign w:val="center"/>
            <w:vMerge w:val="continue"/>
            <w:textDirection w:val="lrTb"/>
            <w:noWrap w:val="false"/>
          </w:tcPr>
          <w:p>
            <w:pPr>
              <w:pStyle w:val="829"/>
              <w:spacing w:before="0" w:after="200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04" w:type="dxa"/>
            <w:vAlign w:val="center"/>
            <w:vMerge w:val="continue"/>
            <w:textDirection w:val="lrTb"/>
            <w:noWrap w:val="false"/>
          </w:tcPr>
          <w:p>
            <w:pPr>
              <w:pStyle w:val="829"/>
              <w:spacing w:before="0" w:after="200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9" w:type="dxa"/>
            <w:vAlign w:val="center"/>
            <w:vMerge w:val="continue"/>
            <w:textDirection w:val="lrTb"/>
            <w:noWrap w:val="false"/>
          </w:tcPr>
          <w:p>
            <w:pPr>
              <w:pStyle w:val="829"/>
              <w:spacing w:before="0" w:after="200"/>
              <w:widowControl w:val="off"/>
            </w:pPr>
            <w:r/>
            <w:r/>
          </w:p>
        </w:tc>
      </w:tr>
      <w:tr>
        <w:tblPrEx/>
        <w:trPr>
          <w:trHeight w:val="283" w:hRule="exact"/>
        </w:trPr>
        <w:tc>
          <w:tcPr>
            <w:gridSpan w:val="8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61" w:type="dxa"/>
            <w:vAlign w:val="center"/>
            <w:textDirection w:val="lrTb"/>
            <w:noWrap w:val="false"/>
          </w:tcPr>
          <w:p>
            <w:pPr>
              <w:pStyle w:val="836"/>
              <w:ind w:left="0" w:righ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rFonts w:eastAsia="Calibri" w:cs="Calibri"/>
                <w:sz w:val="22"/>
                <w:szCs w:val="22"/>
                <w:lang w:eastAsia="zh-CN" w:bidi="ar-SA"/>
              </w:rPr>
              <w:t xml:space="preserve">Основные виды разрешенного использования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1272" w:type="dxa"/>
            <w:vAlign w:val="center"/>
            <w:textDirection w:val="lrTb"/>
            <w:noWrap w:val="false"/>
          </w:tcPr>
          <w:p>
            <w:pPr>
              <w:pStyle w:val="836"/>
              <w:ind w:left="0" w:righ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t xml:space="preserve">1</w:t>
            </w:r>
            <w:r>
              <w:rPr>
                <w:rFonts w:eastAsia="Calibri" w:cs="Calibri"/>
                <w:sz w:val="22"/>
                <w:szCs w:val="22"/>
                <w:lang w:eastAsia="zh-CN" w:bidi="ar-SA"/>
              </w:rPr>
              <w:t xml:space="preserve">2.1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4" w:type="dxa"/>
            <w:vAlign w:val="center"/>
            <w:textDirection w:val="lrTb"/>
            <w:noWrap w:val="false"/>
          </w:tcPr>
          <w:p>
            <w:pPr>
              <w:pStyle w:val="836"/>
              <w:ind w:left="0" w:righ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6"/>
              <w:ind w:left="0" w:righ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33" w:type="dxa"/>
            <w:vAlign w:val="center"/>
            <w:textDirection w:val="lrTb"/>
            <w:noWrap w:val="false"/>
          </w:tcPr>
          <w:p>
            <w:pPr>
              <w:pStyle w:val="836"/>
              <w:ind w:left="0" w:righ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6"/>
              <w:ind w:left="0" w:righ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  <w:t xml:space="preserve">100000</w:t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21" w:type="dxa"/>
            <w:vAlign w:val="center"/>
            <w:textDirection w:val="lrTb"/>
            <w:noWrap w:val="false"/>
          </w:tcPr>
          <w:p>
            <w:pPr>
              <w:pStyle w:val="836"/>
              <w:ind w:left="0" w:righ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704" w:type="dxa"/>
            <w:vAlign w:val="center"/>
            <w:textDirection w:val="lrTb"/>
            <w:noWrap w:val="false"/>
          </w:tcPr>
          <w:p>
            <w:pPr>
              <w:pStyle w:val="836"/>
              <w:ind w:left="0" w:righ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 w:val="22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9" w:type="dxa"/>
            <w:vAlign w:val="center"/>
            <w:textDirection w:val="lrTb"/>
            <w:noWrap w:val="false"/>
          </w:tcPr>
          <w:p>
            <w:pPr>
              <w:pStyle w:val="836"/>
              <w:ind w:left="0" w:righ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  <w:t xml:space="preserve">НПУ»</w:t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lang w:eastAsia="zh-CN" w:bidi="ar-SA"/>
              </w:rPr>
            </w:r>
          </w:p>
        </w:tc>
      </w:tr>
    </w:tbl>
    <w:p>
      <w:pPr>
        <w:pStyle w:val="829"/>
        <w:spacing w:before="0" w:after="0" w:line="283" w:lineRule="atLeast"/>
        <w:rPr>
          <w:color w:val="auto"/>
        </w:rPr>
      </w:pPr>
      <w:r>
        <w:rPr>
          <w:color w:val="auto"/>
          <w:sz w:val="28"/>
        </w:rPr>
      </w:r>
      <w:r>
        <w:rPr>
          <w:color w:val="auto"/>
          <w:sz w:val="28"/>
        </w:rPr>
      </w:r>
      <w:r>
        <w:rPr>
          <w:color w:val="auto"/>
        </w:rPr>
      </w:r>
    </w:p>
    <w:p>
      <w:pPr>
        <w:pStyle w:val="829"/>
        <w:ind w:left="-283" w:right="-141" w:firstLine="283"/>
        <w:spacing w:before="0" w:after="200"/>
      </w:pPr>
      <w:r/>
      <w:r/>
    </w:p>
    <w:p>
      <w:pPr>
        <w:ind w:left="-425" w:right="0" w:firstLine="567"/>
        <w:jc w:val="both"/>
        <w:spacing w:before="0" w:after="0"/>
        <w:widowControl/>
        <w:rPr>
          <w:rFonts w:ascii="Times New Roman" w:hAnsi="Times New Roman" w:eastAsia="Times New Roman" w:cs="Times New Roman"/>
          <w:b/>
          <w:color w:val="auto"/>
          <w:sz w:val="28"/>
          <w:szCs w:val="28"/>
          <w:highlight w:val="none"/>
          <w:lang w:eastAsia="zh-CN" w:bidi="ar-SA"/>
        </w:rPr>
        <w:outlineLvl w:val="0"/>
      </w:pPr>
      <w:r>
        <w:rPr>
          <w:rFonts w:ascii="Times New Roman" w:hAnsi="Times New Roman" w:eastAsia="Times New Roman" w:cs="Times New Roman"/>
          <w:b/>
          <w:color w:val="auto"/>
          <w:sz w:val="28"/>
          <w:szCs w:val="28"/>
          <w:highlight w:val="none"/>
          <w:lang w:eastAsia="zh-CN" w:bidi="ar-SA"/>
        </w:rPr>
      </w:r>
      <w:r>
        <w:rPr>
          <w:rFonts w:ascii="Times New Roman" w:hAnsi="Times New Roman" w:eastAsia="Times New Roman" w:cs="Times New Roman"/>
          <w:b/>
          <w:color w:val="auto"/>
          <w:sz w:val="28"/>
          <w:szCs w:val="28"/>
          <w:highlight w:val="none"/>
          <w:lang w:eastAsia="zh-CN" w:bidi="ar-SA"/>
        </w:rPr>
      </w:r>
    </w:p>
    <w:sectPr>
      <w:footnotePr/>
      <w:endnotePr/>
      <w:type w:val="nextPage"/>
      <w:pgSz w:w="11906" w:h="16838" w:orient="portrait"/>
      <w:pgMar w:top="709" w:right="850" w:bottom="822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Liberation Serif">
    <w:panose1 w:val="02020603050405020304"/>
  </w:font>
  <w:font w:name="Times New Roman">
    <w:panose1 w:val="02020603050405020304"/>
  </w:font>
  <w:font w:name="NSimSun">
    <w:panose1 w:val="02010609030101010101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Arial" w:eastAsia="Arial" w:cs="Arial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3">
    <w:name w:val="Heading 1"/>
    <w:basedOn w:val="829"/>
    <w:next w:val="829"/>
    <w:link w:val="65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4">
    <w:name w:val="Heading 1 Char"/>
    <w:link w:val="653"/>
    <w:uiPriority w:val="9"/>
    <w:rPr>
      <w:rFonts w:ascii="Arial" w:hAnsi="Arial" w:eastAsia="Arial" w:cs="Arial"/>
      <w:sz w:val="40"/>
      <w:szCs w:val="40"/>
    </w:rPr>
  </w:style>
  <w:style w:type="paragraph" w:styleId="655">
    <w:name w:val="Heading 2"/>
    <w:basedOn w:val="829"/>
    <w:next w:val="829"/>
    <w:link w:val="65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6">
    <w:name w:val="Heading 2 Char"/>
    <w:link w:val="655"/>
    <w:uiPriority w:val="9"/>
    <w:rPr>
      <w:rFonts w:ascii="Arial" w:hAnsi="Arial" w:eastAsia="Arial" w:cs="Arial"/>
      <w:sz w:val="34"/>
    </w:rPr>
  </w:style>
  <w:style w:type="paragraph" w:styleId="657">
    <w:name w:val="Heading 3"/>
    <w:basedOn w:val="829"/>
    <w:next w:val="829"/>
    <w:link w:val="65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8">
    <w:name w:val="Heading 3 Char"/>
    <w:link w:val="657"/>
    <w:uiPriority w:val="9"/>
    <w:rPr>
      <w:rFonts w:ascii="Arial" w:hAnsi="Arial" w:eastAsia="Arial" w:cs="Arial"/>
      <w:sz w:val="30"/>
      <w:szCs w:val="30"/>
    </w:rPr>
  </w:style>
  <w:style w:type="paragraph" w:styleId="659">
    <w:name w:val="Heading 4"/>
    <w:basedOn w:val="829"/>
    <w:next w:val="829"/>
    <w:link w:val="66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0">
    <w:name w:val="Heading 4 Char"/>
    <w:link w:val="659"/>
    <w:uiPriority w:val="9"/>
    <w:rPr>
      <w:rFonts w:ascii="Arial" w:hAnsi="Arial" w:eastAsia="Arial" w:cs="Arial"/>
      <w:b/>
      <w:bCs/>
      <w:sz w:val="26"/>
      <w:szCs w:val="26"/>
    </w:rPr>
  </w:style>
  <w:style w:type="paragraph" w:styleId="661">
    <w:name w:val="Heading 5"/>
    <w:basedOn w:val="829"/>
    <w:next w:val="829"/>
    <w:link w:val="66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2">
    <w:name w:val="Heading 5 Char"/>
    <w:link w:val="661"/>
    <w:uiPriority w:val="9"/>
    <w:rPr>
      <w:rFonts w:ascii="Arial" w:hAnsi="Arial" w:eastAsia="Arial" w:cs="Arial"/>
      <w:b/>
      <w:bCs/>
      <w:sz w:val="24"/>
      <w:szCs w:val="24"/>
    </w:rPr>
  </w:style>
  <w:style w:type="paragraph" w:styleId="663">
    <w:name w:val="Heading 6"/>
    <w:basedOn w:val="829"/>
    <w:next w:val="829"/>
    <w:link w:val="66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4">
    <w:name w:val="Heading 6 Char"/>
    <w:link w:val="663"/>
    <w:uiPriority w:val="9"/>
    <w:rPr>
      <w:rFonts w:ascii="Arial" w:hAnsi="Arial" w:eastAsia="Arial" w:cs="Arial"/>
      <w:b/>
      <w:bCs/>
      <w:sz w:val="22"/>
      <w:szCs w:val="22"/>
    </w:rPr>
  </w:style>
  <w:style w:type="paragraph" w:styleId="665">
    <w:name w:val="Heading 7"/>
    <w:basedOn w:val="829"/>
    <w:next w:val="829"/>
    <w:link w:val="66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6">
    <w:name w:val="Heading 7 Char"/>
    <w:link w:val="66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7">
    <w:name w:val="Heading 8"/>
    <w:basedOn w:val="829"/>
    <w:next w:val="829"/>
    <w:link w:val="66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8">
    <w:name w:val="Heading 8 Char"/>
    <w:link w:val="667"/>
    <w:uiPriority w:val="9"/>
    <w:rPr>
      <w:rFonts w:ascii="Arial" w:hAnsi="Arial" w:eastAsia="Arial" w:cs="Arial"/>
      <w:i/>
      <w:iCs/>
      <w:sz w:val="22"/>
      <w:szCs w:val="22"/>
    </w:rPr>
  </w:style>
  <w:style w:type="paragraph" w:styleId="669">
    <w:name w:val="Heading 9"/>
    <w:basedOn w:val="829"/>
    <w:next w:val="829"/>
    <w:link w:val="67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0">
    <w:name w:val="Heading 9 Char"/>
    <w:link w:val="669"/>
    <w:uiPriority w:val="9"/>
    <w:rPr>
      <w:rFonts w:ascii="Arial" w:hAnsi="Arial" w:eastAsia="Arial" w:cs="Arial"/>
      <w:i/>
      <w:iCs/>
      <w:sz w:val="21"/>
      <w:szCs w:val="21"/>
    </w:rPr>
  </w:style>
  <w:style w:type="paragraph" w:styleId="671">
    <w:name w:val="Title"/>
    <w:basedOn w:val="829"/>
    <w:next w:val="829"/>
    <w:link w:val="67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2">
    <w:name w:val="Title Char"/>
    <w:link w:val="671"/>
    <w:uiPriority w:val="10"/>
    <w:rPr>
      <w:sz w:val="48"/>
      <w:szCs w:val="48"/>
    </w:rPr>
  </w:style>
  <w:style w:type="paragraph" w:styleId="673">
    <w:name w:val="Subtitle"/>
    <w:basedOn w:val="829"/>
    <w:next w:val="829"/>
    <w:link w:val="674"/>
    <w:uiPriority w:val="11"/>
    <w:qFormat/>
    <w:pPr>
      <w:spacing w:before="200" w:after="200"/>
    </w:pPr>
    <w:rPr>
      <w:sz w:val="24"/>
      <w:szCs w:val="24"/>
    </w:rPr>
  </w:style>
  <w:style w:type="character" w:styleId="674">
    <w:name w:val="Subtitle Char"/>
    <w:link w:val="673"/>
    <w:uiPriority w:val="11"/>
    <w:rPr>
      <w:sz w:val="24"/>
      <w:szCs w:val="24"/>
    </w:rPr>
  </w:style>
  <w:style w:type="paragraph" w:styleId="675">
    <w:name w:val="Quote"/>
    <w:basedOn w:val="829"/>
    <w:next w:val="829"/>
    <w:link w:val="676"/>
    <w:uiPriority w:val="29"/>
    <w:qFormat/>
    <w:pPr>
      <w:ind w:left="720" w:right="720"/>
    </w:pPr>
    <w:rPr>
      <w:i/>
    </w:rPr>
  </w:style>
  <w:style w:type="character" w:styleId="676">
    <w:name w:val="Quote Char"/>
    <w:link w:val="675"/>
    <w:uiPriority w:val="29"/>
    <w:rPr>
      <w:i/>
    </w:rPr>
  </w:style>
  <w:style w:type="paragraph" w:styleId="677">
    <w:name w:val="Intense Quote"/>
    <w:basedOn w:val="829"/>
    <w:next w:val="829"/>
    <w:link w:val="678"/>
    <w:uiPriority w:val="30"/>
    <w:qFormat/>
    <w:pPr>
      <w:contextualSpacing w:val="0"/>
      <w:ind w:left="720" w:right="720"/>
      <w:shd w:val="clear" w:color="f2f2f2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8">
    <w:name w:val="Intense Quote Char"/>
    <w:link w:val="677"/>
    <w:uiPriority w:val="30"/>
    <w:rPr>
      <w:i/>
    </w:rPr>
  </w:style>
  <w:style w:type="paragraph" w:styleId="679">
    <w:name w:val="Header"/>
    <w:basedOn w:val="829"/>
    <w:link w:val="68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0">
    <w:name w:val="Header Char"/>
    <w:link w:val="679"/>
    <w:uiPriority w:val="99"/>
  </w:style>
  <w:style w:type="paragraph" w:styleId="681">
    <w:name w:val="Footer"/>
    <w:basedOn w:val="829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Footer Char"/>
    <w:link w:val="681"/>
    <w:uiPriority w:val="99"/>
  </w:style>
  <w:style w:type="paragraph" w:styleId="683">
    <w:name w:val="Caption"/>
    <w:basedOn w:val="829"/>
    <w:next w:val="829"/>
    <w:link w:val="68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4">
    <w:name w:val="Caption Char"/>
    <w:link w:val="683"/>
    <w:uiPriority w:val="35"/>
    <w:rPr>
      <w:b/>
      <w:bCs/>
      <w:color w:val="4f81bd" w:themeColor="accent1"/>
      <w:sz w:val="18"/>
      <w:szCs w:val="18"/>
    </w:rPr>
  </w:style>
  <w:style w:type="table" w:styleId="685">
    <w:name w:val="Table Grid"/>
    <w:basedOn w:val="83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6">
    <w:name w:val="Table Grid Light"/>
    <w:basedOn w:val="8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Plain Table 1"/>
    <w:basedOn w:val="8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fill="f2f2f2" w:themeFill="text1" w:themeFillTint="0D"/>
      </w:tcPr>
    </w:tblStylePr>
    <w:tblStylePr w:type="band1Vert">
      <w:tcPr>
        <w:shd w:val="clear" w:color="f2f2f2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8">
    <w:name w:val="Plain Table 2"/>
    <w:basedOn w:val="83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0">
    <w:name w:val="Plain Table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Plain Table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2">
    <w:name w:val="Grid Table 1 Light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bf6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bf6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deded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deded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ef2cb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ef2cb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9e2f2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9e2f2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2efd8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2efd8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bf6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bf6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deded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deded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ef2cb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ef2cb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9e2f2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9e2f2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2efd8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2efd8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4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4">
    <w:name w:val="Grid Table 4 - Accent 1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ebf6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febf6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7a4d8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5">
    <w:name w:val="Grid Table 4 - Accent 2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5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6">
    <w:name w:val="Grid Table 4 - Accent 3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deded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deded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7">
    <w:name w:val="Grid Table 4 - Accent 4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ef2cb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ef2cb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4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8">
    <w:name w:val="Grid Table 4 - Accent 5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9e2f2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9e2f2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9">
    <w:name w:val="Grid Table 4 - Accent 6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2efd8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2efd8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0">
    <w:name w:val="Grid Table 5 Dark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bfbfbf" w:fill="bfbfbf" w:themeFill="text1" w:themeFillTint="40"/>
    </w:tblPr>
    <w:tblStylePr w:type="band1Horz">
      <w:tcPr>
        <w:shd w:val="clear" w:color="8a8a8a" w:fill="8a8a8a" w:themeFill="text1" w:themeFillTint="75"/>
      </w:tcPr>
    </w:tblStylePr>
    <w:tblStylePr w:type="band1Vert">
      <w:tcPr>
        <w:shd w:val="clear" w:color="8a8a8a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fill="000000" w:themeFill="text1"/>
        <w:tcBorders>
          <w:top w:val="single" w:color="000000" w:themeColor="light1" w:sz="4" w:space="0"/>
        </w:tcBorders>
      </w:tcPr>
    </w:tblStylePr>
  </w:style>
  <w:style w:type="table" w:styleId="721">
    <w:name w:val="Grid Table 5 Dark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ddebf6" w:fill="ddebf6" w:themeFill="accent1" w:themeFillTint="34"/>
    </w:tblPr>
    <w:tblStylePr w:type="band1Horz">
      <w:tcPr>
        <w:shd w:val="clear" w:color="b4d2eb" w:fill="b4d2eb" w:themeFill="accent1" w:themeFillTint="75"/>
      </w:tcPr>
    </w:tblStylePr>
    <w:tblStylePr w:type="band1Vert">
      <w:tcPr>
        <w:shd w:val="clear" w:color="b4d2eb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fill="5b9bd5" w:themeFill="accent1"/>
        <w:tcBorders>
          <w:top w:val="single" w:color="000000" w:themeColor="light1" w:sz="4" w:space="0"/>
        </w:tcBorders>
      </w:tcPr>
    </w:tblStylePr>
  </w:style>
  <w:style w:type="table" w:styleId="722">
    <w:name w:val="Grid Table 5 Dark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be5d6" w:fill="fbe5d6" w:themeFill="accent2" w:themeFillTint="32"/>
    </w:tblPr>
    <w:tblStylePr w:type="band1Horz">
      <w:tcPr>
        <w:shd w:val="clear" w:color="f6c3a1" w:fill="f6c3a1" w:themeFill="accent2" w:themeFillTint="75"/>
      </w:tcPr>
    </w:tblStylePr>
    <w:tblStylePr w:type="band1Vert">
      <w:tcPr>
        <w:shd w:val="clear" w:color="f6c3a1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fill="ed7d31" w:themeFill="accent2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ededed" w:fill="ededed" w:themeFill="accent3" w:themeFillTint="34"/>
    </w:tblPr>
    <w:tblStylePr w:type="band1Horz">
      <w:tcPr>
        <w:shd w:val="clear" w:color="d6d6d6" w:fill="d6d6d6" w:themeFill="accent3" w:themeFillTint="75"/>
      </w:tcPr>
    </w:tblStylePr>
    <w:tblStylePr w:type="band1Vert">
      <w:tcPr>
        <w:shd w:val="clear" w:color="d6d6d6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fill="a5a5a5" w:themeFill="accent3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ef2cb" w:fill="fef2cb" w:themeFill="accent4" w:themeFillTint="34"/>
    </w:tblPr>
    <w:tblStylePr w:type="band1Horz">
      <w:tcPr>
        <w:shd w:val="clear" w:color="fee189" w:fill="fee189" w:themeFill="accent4" w:themeFillTint="75"/>
      </w:tcPr>
    </w:tblStylePr>
    <w:tblStylePr w:type="band1Vert">
      <w:tcPr>
        <w:shd w:val="clear" w:color="fee189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fill="ffc000" w:themeFill="accent4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d9e2f2" w:fill="d9e2f2" w:themeFill="accent5" w:themeFillTint="34"/>
    </w:tblPr>
    <w:tblStylePr w:type="band1Horz">
      <w:tcPr>
        <w:shd w:val="clear" w:color="aabfe3" w:fill="aabfe3" w:themeFill="accent5" w:themeFillTint="75"/>
      </w:tcPr>
    </w:tblStylePr>
    <w:tblStylePr w:type="band1Vert">
      <w:tcPr>
        <w:shd w:val="clear" w:color="aabfe3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fill="4472c4" w:themeFill="accent5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e2efd8" w:fill="e2efd8" w:themeFill="accent6" w:themeFillTint="34"/>
    </w:tblPr>
    <w:tblStylePr w:type="band1Horz">
      <w:tcPr>
        <w:shd w:val="clear" w:color="bedba8" w:fill="bedba8" w:themeFill="accent6" w:themeFillTint="75"/>
      </w:tcPr>
    </w:tblStylePr>
    <w:tblStylePr w:type="band1Vert">
      <w:tcPr>
        <w:shd w:val="clear" w:color="bedba8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fill="70ad47" w:themeFill="accent6"/>
        <w:tcBorders>
          <w:top w:val="single" w:color="000000" w:themeColor="light1" w:sz="4" w:space="0"/>
        </w:tcBorders>
      </w:tcPr>
    </w:tblStylePr>
  </w:style>
  <w:style w:type="table" w:styleId="727">
    <w:name w:val="Grid Table 6 Colorful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cbcbcb" w:fill="cbcbcb" w:themeFill="text1" w:themeFillTint="34"/>
      </w:tcPr>
    </w:tblStylePr>
    <w:tblStylePr w:type="band1Vert"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8">
    <w:name w:val="Grid Table 6 Colorful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ddebf6" w:fill="ddebf6" w:themeFill="accent1" w:themeFillTint="34"/>
      </w:tcPr>
    </w:tblStylePr>
    <w:tblStylePr w:type="band1Vert">
      <w:tcPr>
        <w:shd w:val="clear" w:color="ddebf6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9">
    <w:name w:val="Grid Table 6 Colorful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be5d6" w:fill="fbe5d6" w:themeFill="accent2" w:themeFillTint="32"/>
      </w:tcPr>
    </w:tblStylePr>
    <w:tblStylePr w:type="band1Vert">
      <w:tcPr>
        <w:shd w:val="clear" w:color="fbe5d6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0">
    <w:name w:val="Grid Table 6 Colorful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ededed" w:fill="ededed" w:themeFill="accent3" w:themeFillTint="34"/>
      </w:tcPr>
    </w:tblStylePr>
    <w:tblStylePr w:type="band1Vert">
      <w:tcPr>
        <w:shd w:val="clear" w:color="ededed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1">
    <w:name w:val="Grid Table 6 Colorful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ef2cb" w:fill="fef2cb" w:themeFill="accent4" w:themeFillTint="34"/>
      </w:tcPr>
    </w:tblStylePr>
    <w:tblStylePr w:type="band1Vert">
      <w:tcPr>
        <w:shd w:val="clear" w:color="fef2cb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2">
    <w:name w:val="Grid Table 6 Colorful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d9e2f2" w:fill="d9e2f2" w:themeFill="accent5" w:themeFillTint="34"/>
      </w:tcPr>
    </w:tblStylePr>
    <w:tblStylePr w:type="band1Vert">
      <w:tcPr>
        <w:shd w:val="clear" w:color="d9e2f2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3">
    <w:name w:val="Grid Table 6 Colorful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e2efd8" w:fill="e2efd8" w:themeFill="accent6" w:themeFillTint="34"/>
      </w:tcPr>
    </w:tblStylePr>
    <w:tblStylePr w:type="band1Vert">
      <w:tcPr>
        <w:shd w:val="clear" w:color="e2efd8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7 Colorful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2f2f2" w:fill="f2f2f2" w:themeFill="text1" w:themeFillTint="0D"/>
      </w:tcPr>
    </w:tblStylePr>
    <w:tblStylePr w:type="band1Vert"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ddebf6" w:fill="ddebf6" w:themeFill="accent1" w:themeFillTint="34"/>
      </w:tcPr>
    </w:tblStylePr>
    <w:tblStylePr w:type="band1Vert">
      <w:tcPr>
        <w:shd w:val="clear" w:color="ddebf6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be5d6" w:fill="fbe5d6" w:themeFill="accent2" w:themeFillTint="32"/>
      </w:tcPr>
    </w:tblStylePr>
    <w:tblStylePr w:type="band1Vert">
      <w:tcPr>
        <w:shd w:val="clear" w:color="fbe5d6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ededed" w:fill="ededed" w:themeFill="accent3" w:themeFillTint="34"/>
      </w:tcPr>
    </w:tblStylePr>
    <w:tblStylePr w:type="band1Vert">
      <w:tcPr>
        <w:shd w:val="clear" w:color="ededed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ef2cb" w:fill="fef2cb" w:themeFill="accent4" w:themeFillTint="34"/>
      </w:tcPr>
    </w:tblStylePr>
    <w:tblStylePr w:type="band1Vert">
      <w:tcPr>
        <w:shd w:val="clear" w:color="fef2cb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d9e2f2" w:fill="d9e2f2" w:themeFill="accent5" w:themeFillTint="34"/>
      </w:tcPr>
    </w:tblStylePr>
    <w:tblStylePr w:type="band1Vert">
      <w:tcPr>
        <w:shd w:val="clear" w:color="d9e2f2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e2efd8" w:fill="e2efd8" w:themeFill="accent6" w:themeFillTint="34"/>
      </w:tcPr>
    </w:tblStylePr>
    <w:tblStylePr w:type="band1Vert">
      <w:tcPr>
        <w:shd w:val="clear" w:color="e2efd8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d5e6f4" w:fill="d5e6f4" w:themeFill="accent1" w:themeFillTint="40"/>
      </w:tcPr>
    </w:tblStylePr>
    <w:tblStylePr w:type="band1Vert">
      <w:tcPr>
        <w:shd w:val="clear" w:color="d5e6f4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adecb" w:fill="fadecb" w:themeFill="accent2" w:themeFillTint="40"/>
      </w:tcPr>
    </w:tblStylePr>
    <w:tblStylePr w:type="band1Vert">
      <w:tcPr>
        <w:shd w:val="clear" w:color="fadecb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e8e8e8" w:fill="e8e8e8" w:themeFill="accent3" w:themeFillTint="40"/>
      </w:tcPr>
    </w:tblStylePr>
    <w:tblStylePr w:type="band1Vert">
      <w:tcPr>
        <w:shd w:val="clear" w:color="e8e8e8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efbf" w:fill="ffefbf" w:themeFill="accent4" w:themeFillTint="40"/>
      </w:tcPr>
    </w:tblStylePr>
    <w:tblStylePr w:type="band1Vert">
      <w:tcPr>
        <w:shd w:val="clear" w:color="ffefbf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cfdcf0" w:fill="cfdcf0" w:themeFill="accent5" w:themeFillTint="40"/>
      </w:tcPr>
    </w:tblStylePr>
    <w:tblStylePr w:type="band1Vert">
      <w:tcPr>
        <w:shd w:val="clear" w:color="cfdcf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dbebd0" w:fill="dbebd0" w:themeFill="accent6" w:themeFillTint="40"/>
      </w:tcPr>
    </w:tblStylePr>
    <w:tblStylePr w:type="band1Vert">
      <w:tcPr>
        <w:shd w:val="clear" w:color="dbebd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9">
    <w:name w:val="List Table 2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6f4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6f4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0">
    <w:name w:val="List Table 2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1">
    <w:name w:val="List Table 2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2">
    <w:name w:val="List Table 2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3">
    <w:name w:val="List Table 2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cf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cf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4">
    <w:name w:val="List Table 2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bebd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bebd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5">
    <w:name w:val="List Table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5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4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eabdb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ad08f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6f4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6f4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cf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cf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bebd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bebd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5 Dark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7f7f7f" w:fill="7f7f7f" w:themeFill="text1" w:themeFillTint="80"/>
    </w:tblPr>
    <w:tblStylePr w:type="band1Horz">
      <w:tcPr>
        <w:shd w:val="clear" w:color="7f7f7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7f7f7f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7f7f7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5b9bd5" w:fill="5b9bd5" w:themeFill="accent1"/>
    </w:tblPr>
    <w:tblStylePr w:type="band1Horz">
      <w:tcPr>
        <w:shd w:val="clear" w:color="5b9bd5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5b9bd5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5b9bd5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4b185" w:fill="f4b185" w:themeFill="accent2" w:themeFillTint="97"/>
    </w:tblPr>
    <w:tblStylePr w:type="band1Horz">
      <w:tcPr>
        <w:shd w:val="clear" w:color="f4b185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4b185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4b185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5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c9c9c9" w:fill="c9c9c9" w:themeFill="accent3" w:themeFillTint="98"/>
    </w:tblPr>
    <w:tblStylePr w:type="band1Horz">
      <w:tcPr>
        <w:shd w:val="clear" w:color="c9c9c9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c9c9c9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c9c9c9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d864" w:fill="ffd864" w:themeFill="accent4" w:themeFillTint="9A"/>
    </w:tblPr>
    <w:tblStylePr w:type="band1Horz">
      <w:tcPr>
        <w:shd w:val="clear" w:color="ffd864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d864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d864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4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8eabdb" w:fill="8eabdb" w:themeFill="accent5" w:themeFillTint="9A"/>
    </w:tblPr>
    <w:tblStylePr w:type="band1Horz">
      <w:tcPr>
        <w:shd w:val="clear" w:color="8eabdb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8eabdb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8eabdb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eabdb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aad08f" w:fill="aad08f" w:themeFill="accent6" w:themeFillTint="98"/>
    </w:tblPr>
    <w:tblStylePr w:type="band1Horz">
      <w:tcPr>
        <w:shd w:val="clear" w:color="aad08f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ad08f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ad08f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ad08f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6 Colorful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7">
    <w:name w:val="List Table 6 Colorful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d5e6f4" w:fill="d5e6f4" w:themeFill="accent1" w:themeFillTint="40"/>
      </w:tcPr>
    </w:tblStylePr>
    <w:tblStylePr w:type="band1Vert">
      <w:tcPr>
        <w:shd w:val="clear" w:color="d5e6f4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8">
    <w:name w:val="List Table 6 Colorful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adecb" w:fill="fadecb" w:themeFill="accent2" w:themeFillTint="40"/>
      </w:tcPr>
    </w:tblStylePr>
    <w:tblStylePr w:type="band1Vert">
      <w:tcPr>
        <w:shd w:val="clear" w:color="fadecb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9">
    <w:name w:val="List Table 6 Colorful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e8e8e8" w:fill="e8e8e8" w:themeFill="accent3" w:themeFillTint="40"/>
      </w:tcPr>
    </w:tblStylePr>
    <w:tblStylePr w:type="band1Vert">
      <w:tcPr>
        <w:shd w:val="clear" w:color="e8e8e8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0">
    <w:name w:val="List Table 6 Colorful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efbf" w:fill="ffefbf" w:themeFill="accent4" w:themeFillTint="40"/>
      </w:tcPr>
    </w:tblStylePr>
    <w:tblStylePr w:type="band1Vert">
      <w:tcPr>
        <w:shd w:val="clear" w:color="ffefbf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1">
    <w:name w:val="List Table 6 Colorful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cfdcf0" w:fill="cfdcf0" w:themeFill="accent5" w:themeFillTint="40"/>
      </w:tcPr>
    </w:tblStylePr>
    <w:tblStylePr w:type="band1Vert">
      <w:tcPr>
        <w:shd w:val="clear" w:color="cfdcf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2">
    <w:name w:val="List Table 6 Colorful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dbebd0" w:fill="dbebd0" w:themeFill="accent6" w:themeFillTint="40"/>
      </w:tcPr>
    </w:tblStylePr>
    <w:tblStylePr w:type="band1Vert">
      <w:tcPr>
        <w:shd w:val="clear" w:color="dbebd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3">
    <w:name w:val="List Table 7 Colorful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4">
    <w:name w:val="List Table 7 Colorful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d5e6f4" w:fill="d5e6f4" w:themeFill="accent1" w:themeFillTint="40"/>
      </w:tcPr>
    </w:tblStylePr>
    <w:tblStylePr w:type="band1Vert">
      <w:tcPr>
        <w:shd w:val="clear" w:color="d5e6f4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5">
    <w:name w:val="List Table 7 Colorful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adecb" w:fill="fadecb" w:themeFill="accent2" w:themeFillTint="40"/>
      </w:tcPr>
    </w:tblStylePr>
    <w:tblStylePr w:type="band1Vert">
      <w:tcPr>
        <w:shd w:val="clear" w:color="fadecb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6">
    <w:name w:val="List Table 7 Colorful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e8e8e8" w:fill="e8e8e8" w:themeFill="accent3" w:themeFillTint="40"/>
      </w:tcPr>
    </w:tblStylePr>
    <w:tblStylePr w:type="band1Vert">
      <w:tcPr>
        <w:shd w:val="clear" w:color="e8e8e8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7">
    <w:name w:val="List Table 7 Colorful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efbf" w:fill="ffefbf" w:themeFill="accent4" w:themeFillTint="40"/>
      </w:tcPr>
    </w:tblStylePr>
    <w:tblStylePr w:type="band1Vert">
      <w:tcPr>
        <w:shd w:val="clear" w:color="ffefbf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8">
    <w:name w:val="List Table 7 Colorful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cfdcf0" w:fill="cfdcf0" w:themeFill="accent5" w:themeFillTint="40"/>
      </w:tcPr>
    </w:tblStylePr>
    <w:tblStylePr w:type="band1Vert">
      <w:tcPr>
        <w:shd w:val="clear" w:color="cfdcf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89">
    <w:name w:val="List Table 7 Colorful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dbebd0" w:fill="dbebd0" w:themeFill="accent6" w:themeFillTint="40"/>
      </w:tcPr>
    </w:tblStylePr>
    <w:tblStylePr w:type="band1Vert">
      <w:tcPr>
        <w:shd w:val="clear" w:color="dbebd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0">
    <w:name w:val="Lined - Accent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/>
      </w:tcPr>
    </w:tblStylePr>
  </w:style>
  <w:style w:type="table" w:styleId="791">
    <w:name w:val="Lined - Accent 1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ce0f1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ce0f1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7a4d8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7a4d8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7a4d8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7a4d8" w:fill="67a4d8" w:themeFill="accent1" w:themeFillTint="EA"/>
      </w:tcPr>
    </w:tblStylePr>
  </w:style>
  <w:style w:type="table" w:styleId="792">
    <w:name w:val="Lined - Accent 2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5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5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5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5" w:fill="f4b185" w:themeFill="accent2" w:themeFillTint="97"/>
      </w:tcPr>
    </w:tblStylePr>
  </w:style>
  <w:style w:type="table" w:styleId="793">
    <w:name w:val="Lined - Accent 3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deded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deded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fill="a5a5a5" w:themeFill="accent3" w:themeFillTint="FE"/>
      </w:tcPr>
    </w:tblStylePr>
  </w:style>
  <w:style w:type="table" w:styleId="794">
    <w:name w:val="Lined - Accent 4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b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ef2cb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4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fill="ffd864" w:themeFill="accent4" w:themeFillTint="9A"/>
      </w:tcPr>
    </w:tblStylePr>
  </w:style>
  <w:style w:type="table" w:styleId="795">
    <w:name w:val="Lined - Accent 5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9e2f2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9e2f2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fill="4472c4" w:themeFill="accent5"/>
      </w:tcPr>
    </w:tblStylePr>
  </w:style>
  <w:style w:type="table" w:styleId="796">
    <w:name w:val="Lined - Accent 6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2efd8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2efd8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fill="70ad47" w:themeFill="accent6"/>
      </w:tcPr>
    </w:tblStylePr>
  </w:style>
  <w:style w:type="table" w:styleId="797">
    <w:name w:val="Bordered &amp; Lined - Accent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/>
      </w:tcPr>
    </w:tblStylePr>
  </w:style>
  <w:style w:type="table" w:styleId="798">
    <w:name w:val="Bordered &amp; Lined - Accent 1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ce0f1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ce0f1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7a4d8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7a4d8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7a4d8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7a4d8" w:fill="67a4d8" w:themeFill="accent1" w:themeFillTint="EA"/>
      </w:tcPr>
    </w:tblStylePr>
  </w:style>
  <w:style w:type="table" w:styleId="799">
    <w:name w:val="Bordered &amp; Lined - Accent 2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5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5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5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5" w:fill="f4b185" w:themeFill="accent2" w:themeFillTint="97"/>
      </w:tcPr>
    </w:tblStylePr>
  </w:style>
  <w:style w:type="table" w:styleId="800">
    <w:name w:val="Bordered &amp; Lined - Accent 3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deded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deded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fill="a5a5a5" w:themeFill="accent3" w:themeFillTint="FE"/>
      </w:tcPr>
    </w:tblStylePr>
  </w:style>
  <w:style w:type="table" w:styleId="801">
    <w:name w:val="Bordered &amp; Lined - Accent 4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b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ef2cb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4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fill="ffd864" w:themeFill="accent4" w:themeFillTint="9A"/>
      </w:tcPr>
    </w:tblStylePr>
  </w:style>
  <w:style w:type="table" w:styleId="802">
    <w:name w:val="Bordered &amp; Lined - Accent 5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9e2f2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9e2f2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fill="4472c4" w:themeFill="accent5"/>
      </w:tcPr>
    </w:tblStylePr>
  </w:style>
  <w:style w:type="table" w:styleId="803">
    <w:name w:val="Bordered &amp; Lined - Accent 6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2efd8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2efd8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fill="70ad47" w:themeFill="accent6"/>
      </w:tcPr>
    </w:tblStylePr>
  </w:style>
  <w:style w:type="table" w:styleId="804">
    <w:name w:val="Bordered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5">
    <w:name w:val="Bordered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6">
    <w:name w:val="Bordered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7">
    <w:name w:val="Bordered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8">
    <w:name w:val="Bordered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9">
    <w:name w:val="Bordered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0">
    <w:name w:val="Bordered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1">
    <w:name w:val="Hyperlink"/>
    <w:uiPriority w:val="99"/>
    <w:unhideWhenUsed/>
    <w:rPr>
      <w:color w:val="0000ff" w:themeColor="hyperlink"/>
      <w:u w:val="single"/>
    </w:rPr>
  </w:style>
  <w:style w:type="paragraph" w:styleId="812">
    <w:name w:val="footnote text"/>
    <w:basedOn w:val="829"/>
    <w:link w:val="813"/>
    <w:uiPriority w:val="99"/>
    <w:semiHidden/>
    <w:unhideWhenUsed/>
    <w:pPr>
      <w:spacing w:after="40" w:line="240" w:lineRule="auto"/>
    </w:pPr>
    <w:rPr>
      <w:sz w:val="18"/>
    </w:rPr>
  </w:style>
  <w:style w:type="character" w:styleId="813">
    <w:name w:val="Footnote Text Char"/>
    <w:link w:val="812"/>
    <w:uiPriority w:val="99"/>
    <w:rPr>
      <w:sz w:val="18"/>
    </w:rPr>
  </w:style>
  <w:style w:type="character" w:styleId="814">
    <w:name w:val="footnote reference"/>
    <w:uiPriority w:val="99"/>
    <w:unhideWhenUsed/>
    <w:rPr>
      <w:vertAlign w:val="superscript"/>
    </w:rPr>
  </w:style>
  <w:style w:type="paragraph" w:styleId="815">
    <w:name w:val="endnote text"/>
    <w:basedOn w:val="829"/>
    <w:link w:val="816"/>
    <w:uiPriority w:val="99"/>
    <w:semiHidden/>
    <w:unhideWhenUsed/>
    <w:pPr>
      <w:spacing w:after="0" w:line="240" w:lineRule="auto"/>
    </w:pPr>
    <w:rPr>
      <w:sz w:val="20"/>
    </w:rPr>
  </w:style>
  <w:style w:type="character" w:styleId="816">
    <w:name w:val="Endnote Text Char"/>
    <w:link w:val="815"/>
    <w:uiPriority w:val="99"/>
    <w:rPr>
      <w:sz w:val="20"/>
    </w:rPr>
  </w:style>
  <w:style w:type="character" w:styleId="817">
    <w:name w:val="endnote reference"/>
    <w:uiPriority w:val="99"/>
    <w:semiHidden/>
    <w:unhideWhenUsed/>
    <w:rPr>
      <w:vertAlign w:val="superscript"/>
    </w:rPr>
  </w:style>
  <w:style w:type="paragraph" w:styleId="818">
    <w:name w:val="toc 1"/>
    <w:basedOn w:val="829"/>
    <w:next w:val="829"/>
    <w:uiPriority w:val="39"/>
    <w:unhideWhenUsed/>
    <w:pPr>
      <w:ind w:left="0" w:right="0" w:firstLine="0"/>
      <w:spacing w:after="57"/>
    </w:pPr>
  </w:style>
  <w:style w:type="paragraph" w:styleId="819">
    <w:name w:val="toc 2"/>
    <w:basedOn w:val="829"/>
    <w:next w:val="829"/>
    <w:uiPriority w:val="39"/>
    <w:unhideWhenUsed/>
    <w:pPr>
      <w:ind w:left="283" w:right="0" w:firstLine="0"/>
      <w:spacing w:after="57"/>
    </w:pPr>
  </w:style>
  <w:style w:type="paragraph" w:styleId="820">
    <w:name w:val="toc 3"/>
    <w:basedOn w:val="829"/>
    <w:next w:val="829"/>
    <w:uiPriority w:val="39"/>
    <w:unhideWhenUsed/>
    <w:pPr>
      <w:ind w:left="567" w:right="0" w:firstLine="0"/>
      <w:spacing w:after="57"/>
    </w:pPr>
  </w:style>
  <w:style w:type="paragraph" w:styleId="821">
    <w:name w:val="toc 4"/>
    <w:basedOn w:val="829"/>
    <w:next w:val="829"/>
    <w:uiPriority w:val="39"/>
    <w:unhideWhenUsed/>
    <w:pPr>
      <w:ind w:left="850" w:right="0" w:firstLine="0"/>
      <w:spacing w:after="57"/>
    </w:pPr>
  </w:style>
  <w:style w:type="paragraph" w:styleId="822">
    <w:name w:val="toc 5"/>
    <w:basedOn w:val="829"/>
    <w:next w:val="829"/>
    <w:uiPriority w:val="39"/>
    <w:unhideWhenUsed/>
    <w:pPr>
      <w:ind w:left="1134" w:right="0" w:firstLine="0"/>
      <w:spacing w:after="57"/>
    </w:pPr>
  </w:style>
  <w:style w:type="paragraph" w:styleId="823">
    <w:name w:val="toc 6"/>
    <w:basedOn w:val="829"/>
    <w:next w:val="829"/>
    <w:uiPriority w:val="39"/>
    <w:unhideWhenUsed/>
    <w:pPr>
      <w:ind w:left="1417" w:right="0" w:firstLine="0"/>
      <w:spacing w:after="57"/>
    </w:pPr>
  </w:style>
  <w:style w:type="paragraph" w:styleId="824">
    <w:name w:val="toc 7"/>
    <w:basedOn w:val="829"/>
    <w:next w:val="829"/>
    <w:uiPriority w:val="39"/>
    <w:unhideWhenUsed/>
    <w:pPr>
      <w:ind w:left="1701" w:right="0" w:firstLine="0"/>
      <w:spacing w:after="57"/>
    </w:pPr>
  </w:style>
  <w:style w:type="paragraph" w:styleId="825">
    <w:name w:val="toc 8"/>
    <w:basedOn w:val="829"/>
    <w:next w:val="829"/>
    <w:uiPriority w:val="39"/>
    <w:unhideWhenUsed/>
    <w:pPr>
      <w:ind w:left="1984" w:right="0" w:firstLine="0"/>
      <w:spacing w:after="57"/>
    </w:pPr>
  </w:style>
  <w:style w:type="paragraph" w:styleId="826">
    <w:name w:val="toc 9"/>
    <w:basedOn w:val="829"/>
    <w:next w:val="829"/>
    <w:uiPriority w:val="39"/>
    <w:unhideWhenUsed/>
    <w:pPr>
      <w:ind w:left="2268" w:right="0" w:firstLine="0"/>
      <w:spacing w:after="57"/>
    </w:pPr>
  </w:style>
  <w:style w:type="paragraph" w:styleId="827">
    <w:name w:val="TOC Heading"/>
    <w:uiPriority w:val="39"/>
    <w:unhideWhenUsed/>
  </w:style>
  <w:style w:type="paragraph" w:styleId="828">
    <w:name w:val="table of figures"/>
    <w:basedOn w:val="829"/>
    <w:next w:val="829"/>
    <w:uiPriority w:val="99"/>
    <w:unhideWhenUsed/>
    <w:pPr>
      <w:spacing w:after="0" w:afterAutospacing="0"/>
    </w:pPr>
  </w:style>
  <w:style w:type="paragraph" w:styleId="829" w:default="1">
    <w:name w:val="Normal"/>
    <w:qFormat/>
  </w:style>
  <w:style w:type="table" w:styleId="83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1" w:default="1">
    <w:name w:val="No List"/>
    <w:uiPriority w:val="99"/>
    <w:semiHidden/>
    <w:unhideWhenUsed/>
  </w:style>
  <w:style w:type="paragraph" w:styleId="832">
    <w:name w:val="No Spacing"/>
    <w:basedOn w:val="829"/>
    <w:uiPriority w:val="1"/>
    <w:qFormat/>
    <w:pPr>
      <w:spacing w:after="0" w:line="240" w:lineRule="auto"/>
    </w:pPr>
  </w:style>
  <w:style w:type="paragraph" w:styleId="833">
    <w:name w:val="List Paragraph"/>
    <w:basedOn w:val="829"/>
    <w:uiPriority w:val="34"/>
    <w:qFormat/>
    <w:pPr>
      <w:contextualSpacing/>
      <w:ind w:left="720"/>
    </w:pPr>
  </w:style>
  <w:style w:type="character" w:styleId="834" w:default="1">
    <w:name w:val="Default Paragraph Font"/>
    <w:uiPriority w:val="1"/>
    <w:semiHidden/>
    <w:unhideWhenUsed/>
  </w:style>
  <w:style w:type="paragraph" w:styleId="835" w:customStyle="1">
    <w:name w:val="Body Text"/>
    <w:pPr>
      <w:contextualSpacing w:val="0"/>
      <w:ind w:left="0" w:right="0" w:firstLine="709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ahoma" w:cs="Liberation Serif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8"/>
      <w:szCs w:val="24"/>
      <w:highlight w:val="none"/>
      <w:u w:val="none"/>
      <w:vertAlign w:val="baseline"/>
      <w:rtl w:val="0"/>
      <w:cs w:val="0"/>
      <w:lang w:val="ru-RU" w:eastAsia="ru-RU" w:bidi="hi-IN"/>
    </w:rPr>
  </w:style>
  <w:style w:type="paragraph" w:styleId="836" w:customStyle="1">
    <w:name w:val="Содержимое таблицы"/>
    <w:qFormat/>
    <w:pPr>
      <w:contextualSpacing w:val="0"/>
      <w:ind w:left="28" w:right="0" w:firstLine="0"/>
      <w:jc w:val="left"/>
      <w:keepLines w:val="0"/>
      <w:keepNext w:val="0"/>
      <w:pageBreakBefore w:val="0"/>
      <w:spacing w:before="100" w:beforeAutospacing="0" w:after="10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/>
    </w:pPr>
    <w:rPr>
      <w:rFonts w:ascii="Times New Roman" w:hAnsi="Times New Roman" w:eastAsia="Tahoma" w:cs="Liberation Serif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hi-IN"/>
    </w:rPr>
  </w:style>
  <w:style w:type="paragraph" w:styleId="837" w:customStyle="1">
    <w:name w:val="Обычная таблица1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Liberation Serif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ar-SA" w:bidi="hi-I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Р7-Офис/2025.2.2.831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sek</cp:lastModifiedBy>
  <cp:revision>9</cp:revision>
  <dcterms:modified xsi:type="dcterms:W3CDTF">2025-09-25T12:31:13Z</dcterms:modified>
</cp:coreProperties>
</file>