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B7E5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границ населенных пунктов, входящих в состав поселения или городского округа.pdf_1"/>
          </v:shape>
        </w:pict>
      </w:r>
    </w:p>
    <w:sectPr w:rsidR="00EC2F08" w:rsidSect="001B7E5C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61B" w:rsidRDefault="00FC461B">
      <w:pPr>
        <w:spacing w:after="0" w:line="240" w:lineRule="auto"/>
      </w:pPr>
      <w:r>
        <w:separator/>
      </w:r>
    </w:p>
  </w:endnote>
  <w:endnote w:type="continuationSeparator" w:id="0">
    <w:p w:rsidR="00FC461B" w:rsidRDefault="00FC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61B" w:rsidRDefault="00FC461B">
      <w:pPr>
        <w:spacing w:after="0" w:line="240" w:lineRule="auto"/>
      </w:pPr>
      <w:r>
        <w:separator/>
      </w:r>
    </w:p>
  </w:footnote>
  <w:footnote w:type="continuationSeparator" w:id="0">
    <w:p w:rsidR="00FC461B" w:rsidRDefault="00FC46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1B7E5C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C461B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2025-09-10T14:37:00Z</dcterms:modified>
</cp:coreProperties>
</file>