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5"/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</w:t>
      </w:r>
      <w:r>
        <w:rPr>
          <w:rFonts w:ascii="Times New Roman" w:hAnsi="Times New Roman" w:eastAsia="Times New Roman" w:cs="Times New Roman"/>
          <w:color w:val="auto"/>
        </w:rPr>
        <w:t xml:space="preserve">3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695"/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695"/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695"/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695"/>
        <w:ind w:firstLine="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</w:rPr>
        <w:t xml:space="preserve">от </w:t>
      </w:r>
      <w:r>
        <w:rPr>
          <w:rFonts w:ascii="Times New Roman" w:hAnsi="Times New Roman" w:eastAsia="Times New Roman" w:cs="Times New Roman"/>
        </w:rPr>
        <w:t xml:space="preserve">24 сентября 2025 г. № 817-п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0"/>
        </w:numPr>
        <w:ind w:left="-425" w:right="0" w:firstLine="425"/>
        <w:jc w:val="both"/>
        <w:spacing w:before="0" w:after="0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695"/>
        <w:numPr>
          <w:ilvl w:val="0"/>
          <w:numId w:val="0"/>
        </w:numPr>
        <w:ind w:left="-425" w:right="-141" w:firstLine="425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4.1. П-1 Зона объектов транспортной и инженерной инфраструктур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695"/>
        <w:numPr>
          <w:ilvl w:val="0"/>
          <w:numId w:val="0"/>
        </w:numPr>
        <w:ind w:left="-425" w:right="-141" w:firstLine="425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695"/>
        <w:contextualSpacing w:val="0"/>
        <w:ind w:left="-425" w:right="-283" w:firstLine="425"/>
        <w:jc w:val="both"/>
        <w:spacing w:before="0" w:after="0" w:line="240" w:lineRule="auto"/>
        <w:widowControl/>
        <w:rPr>
          <w:rFonts w:ascii="Times New Roman" w:hAnsi="Times New Roman" w:cs="Times New Roman"/>
          <w:bCs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Зон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 объектов транспорт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ной и инженерной инфраструктур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 выделен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а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 для обеспечения правовых условий формирования объектов автомобильного транспорта, а также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для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auto"/>
          <w:lang w:eastAsia="ru-RU" w:bidi="ar-SA"/>
        </w:rPr>
        <w:t xml:space="preserve">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pStyle w:val="695"/>
        <w:contextualSpacing w:val="0"/>
        <w:ind w:left="-425" w:right="-283" w:firstLine="425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«П-1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Зон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 объектов транспорт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ной и инженерной инфраструктур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730"/>
        <w:ind w:left="0" w:right="-283" w:firstLine="709"/>
        <w:jc w:val="right"/>
        <w:rPr>
          <w:rFonts w:cs="Times New Roman"/>
          <w:color w:val="auto"/>
          <w:sz w:val="28"/>
          <w:szCs w:val="28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         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u w:val="none"/>
          <w:vertAlign w:val="baseline"/>
          <w:lang w:val="ru-RU" w:eastAsia="zh-CN" w:bidi="ar-SA"/>
        </w:rPr>
        <w:t xml:space="preserve">5</w:t>
      </w:r>
      <w:r>
        <w:rPr>
          <w:rFonts w:cs="Times New Roman"/>
          <w:color w:val="auto"/>
          <w:sz w:val="28"/>
          <w:szCs w:val="28"/>
        </w:rPr>
      </w:r>
      <w:r>
        <w:rPr>
          <w:rFonts w:cs="Times New Roman"/>
          <w:color w:val="auto"/>
          <w:sz w:val="28"/>
          <w:szCs w:val="28"/>
        </w:rPr>
      </w:r>
    </w:p>
    <w:tbl>
      <w:tblPr>
        <w:tblW w:w="10063" w:type="dxa"/>
        <w:tblInd w:w="-42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15"/>
        <w:gridCol w:w="5405"/>
        <w:gridCol w:w="184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15" w:type="dxa"/>
            <w:vAlign w:val="center"/>
            <w:textDirection w:val="lrTb"/>
            <w:noWrap w:val="false"/>
          </w:tcPr>
          <w:p>
            <w:pPr>
              <w:pStyle w:val="756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05" w:type="dxa"/>
            <w:vAlign w:val="center"/>
            <w:textDirection w:val="lrTb"/>
            <w:noWrap w:val="false"/>
          </w:tcPr>
          <w:p>
            <w:pPr>
              <w:pStyle w:val="756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56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56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815" w:type="dxa"/>
            <w:vMerge w:val="restart"/>
            <w:textDirection w:val="lrTb"/>
            <w:noWrap w:val="false"/>
          </w:tcPr>
          <w:p>
            <w:pPr>
              <w:pStyle w:val="756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405" w:type="dxa"/>
            <w:textDirection w:val="lrTb"/>
            <w:noWrap w:val="false"/>
          </w:tcPr>
          <w:p>
            <w:pPr>
              <w:pStyle w:val="756"/>
              <w:spacing w:before="0" w:after="0"/>
              <w:widowControl w:val="off"/>
              <w:rPr>
                <w:rFonts w:eastAsia="NSimSun" w:cs="Times New Roman"/>
                <w:color w:val="auto"/>
                <w:lang w:eastAsia="zh-CN" w:bidi="ar-SA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 xml:space="preserve">автомобильный транспорт;</w:t>
            </w:r>
            <w:r>
              <w:rPr>
                <w:rFonts w:eastAsia="NSimSun" w:cs="Times New Roman"/>
                <w:color w:val="auto"/>
                <w:lang w:eastAsia="zh-CN" w:bidi="ar-SA"/>
              </w:rPr>
            </w:r>
            <w:r>
              <w:rPr>
                <w:rFonts w:eastAsia="NSimSun" w:cs="Times New Roman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</w:pPr>
            <w:r>
              <w:t xml:space="preserve">7.2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815" w:type="dxa"/>
            <w:vMerge w:val="continue"/>
            <w:textDirection w:val="lrTb"/>
            <w:noWrap w:val="false"/>
          </w:tcPr>
          <w:p>
            <w:pPr>
              <w:pStyle w:val="756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405" w:type="dxa"/>
            <w:vMerge w:val="restart"/>
            <w:textDirection w:val="lrTb"/>
            <w:noWrap w:val="false"/>
          </w:tcPr>
          <w:p>
            <w:pPr>
              <w:pStyle w:val="756"/>
              <w:spacing w:before="0" w:after="0"/>
              <w:widowControl w:val="off"/>
              <w:rPr>
                <w:rFonts w:eastAsia="NSimSun" w:cs="Times New Roman"/>
                <w:color w:val="auto"/>
                <w:lang w:eastAsia="zh-CN" w:bidi="ar-SA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 xml:space="preserve">объекты дорожного сервиса;</w:t>
            </w:r>
            <w:r>
              <w:rPr>
                <w:rFonts w:eastAsia="NSimSun" w:cs="Times New Roman"/>
                <w:color w:val="auto"/>
                <w:lang w:eastAsia="zh-CN" w:bidi="ar-SA"/>
              </w:rPr>
            </w:r>
            <w:r>
              <w:rPr>
                <w:rFonts w:eastAsia="NSimSun" w:cs="Times New Roman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</w:pPr>
            <w:r>
              <w:t xml:space="preserve">4.9.1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815" w:type="dxa"/>
            <w:vMerge w:val="continue"/>
            <w:textDirection w:val="lrTb"/>
            <w:noWrap w:val="false"/>
          </w:tcPr>
          <w:p>
            <w:pPr>
              <w:pStyle w:val="756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405" w:type="dxa"/>
            <w:vMerge w:val="restart"/>
            <w:textDirection w:val="lrTb"/>
            <w:noWrap w:val="false"/>
          </w:tcPr>
          <w:p>
            <w:pPr>
              <w:pStyle w:val="756"/>
              <w:spacing w:before="0" w:beforeAutospacing="0" w:after="0" w:afterAutospacing="0"/>
              <w:widowControl w:val="off"/>
              <w:rPr>
                <w:color w:val="auto"/>
              </w:rPr>
            </w:pPr>
            <w:r>
              <w:rPr>
                <w:color w:val="000000"/>
                <w:shd w:val="clear" w:color="auto" w:fill="auto"/>
              </w:rPr>
              <w:t xml:space="preserve">предоставление коммунальных услуг;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  <w:suppressLineNumbers/>
            </w:pPr>
            <w:r>
              <w:rPr>
                <w:color w:val="000000"/>
                <w:shd w:val="clear" w:color="auto" w:fill="auto"/>
              </w:rPr>
              <w:t xml:space="preserve">3.1.1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815" w:type="dxa"/>
            <w:vMerge w:val="continue"/>
            <w:textDirection w:val="lrTb"/>
            <w:noWrap w:val="false"/>
          </w:tcPr>
          <w:p>
            <w:pPr>
              <w:pStyle w:val="756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405" w:type="dxa"/>
            <w:vMerge w:val="restart"/>
            <w:textDirection w:val="lrTb"/>
            <w:noWrap w:val="false"/>
          </w:tcPr>
          <w:p>
            <w:pPr>
              <w:pStyle w:val="756"/>
              <w:spacing w:before="0" w:beforeAutospacing="0" w:after="0" w:afterAutospacing="0"/>
              <w:widowControl w:val="off"/>
              <w:rPr>
                <w:color w:val="000000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 xml:space="preserve">энергетика;</w:t>
            </w:r>
            <w:r>
              <w:rPr>
                <w:color w:val="000000"/>
                <w:shd w:val="clear" w:color="auto" w:fill="auto"/>
              </w:rPr>
            </w:r>
            <w:r>
              <w:rPr>
                <w:color w:val="000000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000000"/>
                <w:shd w:val="clear" w:color="auto" w:fill="auto"/>
              </w:rPr>
              <w:suppressLineNumbers/>
            </w:pPr>
            <w:r>
              <w:rPr>
                <w:color w:val="000000"/>
                <w:shd w:val="clear" w:color="auto" w:fill="auto"/>
              </w:rPr>
              <w:t xml:space="preserve">6.7</w:t>
            </w:r>
            <w:r>
              <w:rPr>
                <w:color w:val="000000"/>
                <w:shd w:val="clear" w:color="auto" w:fill="auto"/>
              </w:rPr>
            </w:r>
            <w:r>
              <w:rPr>
                <w:color w:val="000000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815" w:type="dxa"/>
            <w:vMerge w:val="continue"/>
            <w:textDirection w:val="lrTb"/>
            <w:noWrap w:val="false"/>
          </w:tcPr>
          <w:p>
            <w:pPr>
              <w:pStyle w:val="756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405" w:type="dxa"/>
            <w:vMerge w:val="restart"/>
            <w:textDirection w:val="lrTb"/>
            <w:noWrap w:val="false"/>
          </w:tcPr>
          <w:p>
            <w:pPr>
              <w:pStyle w:val="756"/>
              <w:spacing w:before="0" w:after="0"/>
              <w:widowControl w:val="off"/>
              <w:rPr>
                <w:rFonts w:eastAsia="NSimSun" w:cs="Times New Roman"/>
                <w:color w:val="auto"/>
                <w:lang w:eastAsia="zh-CN" w:bidi="ar-SA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 xml:space="preserve">связь;</w:t>
            </w:r>
            <w:r>
              <w:rPr>
                <w:rFonts w:eastAsia="NSimSun" w:cs="Times New Roman"/>
                <w:color w:val="auto"/>
                <w:lang w:eastAsia="zh-CN" w:bidi="ar-SA"/>
              </w:rPr>
            </w:r>
            <w:r>
              <w:rPr>
                <w:rFonts w:eastAsia="NSimSun" w:cs="Times New Roman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</w:pPr>
            <w:r>
              <w:t xml:space="preserve">6.8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815" w:type="dxa"/>
            <w:vMerge w:val="continue"/>
            <w:textDirection w:val="lrTb"/>
            <w:noWrap w:val="false"/>
          </w:tcPr>
          <w:p>
            <w:pPr>
              <w:pStyle w:val="756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405" w:type="dxa"/>
            <w:vMerge w:val="restart"/>
            <w:textDirection w:val="lrTb"/>
            <w:noWrap w:val="false"/>
          </w:tcPr>
          <w:p>
            <w:pPr>
              <w:pStyle w:val="756"/>
              <w:spacing w:before="0" w:after="0"/>
              <w:widowControl w:val="off"/>
              <w:rPr>
                <w:rFonts w:eastAsia="NSimSun" w:cs="Times New Roman"/>
                <w:color w:val="auto"/>
                <w:lang w:eastAsia="zh-CN" w:bidi="ar-SA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 xml:space="preserve">трубопроводный транспорт;</w:t>
            </w:r>
            <w:r>
              <w:rPr>
                <w:rFonts w:eastAsia="NSimSun" w:cs="Times New Roman"/>
                <w:color w:val="auto"/>
                <w:lang w:eastAsia="zh-CN" w:bidi="ar-SA"/>
              </w:rPr>
            </w:r>
            <w:r>
              <w:rPr>
                <w:rFonts w:eastAsia="NSimSun" w:cs="Times New Roman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</w:pPr>
            <w:r>
              <w:t xml:space="preserve">7.5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15" w:type="dxa"/>
            <w:vMerge w:val="continue"/>
            <w:textDirection w:val="lrTb"/>
            <w:noWrap w:val="false"/>
          </w:tcPr>
          <w:p>
            <w:pPr>
              <w:pStyle w:val="75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405" w:type="dxa"/>
            <w:textDirection w:val="lrTb"/>
            <w:noWrap w:val="false"/>
          </w:tcPr>
          <w:p>
            <w:pPr>
              <w:pStyle w:val="756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 xml:space="preserve">земельные участки (территории) общего пользования</w:t>
            </w:r>
            <w:r>
              <w:rPr>
                <w:rFonts w:eastAsia="Times New Roman" w:cs="Times New Roman"/>
              </w:rPr>
              <w:t xml:space="preserve">.</w:t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12.0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15" w:type="dxa"/>
            <w:textDirection w:val="lrTb"/>
            <w:noWrap w:val="false"/>
          </w:tcPr>
          <w:p>
            <w:pPr>
              <w:pStyle w:val="756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405" w:type="dxa"/>
            <w:textDirection w:val="lrTb"/>
            <w:noWrap w:val="false"/>
          </w:tcPr>
          <w:p>
            <w:pPr>
              <w:pStyle w:val="75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815" w:type="dxa"/>
            <w:textDirection w:val="lrTb"/>
            <w:noWrap w:val="false"/>
          </w:tcPr>
          <w:p>
            <w:pPr>
              <w:pStyle w:val="756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56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405" w:type="dxa"/>
            <w:textDirection w:val="lrTb"/>
            <w:noWrap w:val="false"/>
          </w:tcPr>
          <w:p>
            <w:pPr>
              <w:pStyle w:val="75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695"/>
        <w:contextualSpacing w:val="0"/>
        <w:ind w:left="-425" w:right="-283" w:firstLine="425"/>
        <w:jc w:val="both"/>
        <w:spacing w:before="164" w:beforeAutospacing="0" w:after="0" w:line="240" w:lineRule="auto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П-1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Зон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 объектов транспорт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ной и инженерной инфраструктур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 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6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</w:p>
    <w:p>
      <w:pPr>
        <w:contextualSpacing w:val="0"/>
        <w:ind w:left="-425" w:right="-283" w:firstLine="425"/>
        <w:jc w:val="right"/>
        <w:spacing w:before="164" w:beforeAutospacing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Таблица </w:t>
      </w: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6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tbl>
      <w:tblPr>
        <w:tblW w:w="10063" w:type="dxa"/>
        <w:tblInd w:w="-42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1281"/>
        <w:gridCol w:w="1078"/>
        <w:gridCol w:w="1224"/>
        <w:gridCol w:w="1103"/>
        <w:gridCol w:w="1346"/>
        <w:gridCol w:w="1621"/>
        <w:gridCol w:w="1274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решен-ного 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9" w:type="dxa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 xml:space="preserve">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участка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6" w:type="dxa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Минималь-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ный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1" w:type="dxa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Максималь-ный процент застройки</w:t>
              <w:br/>
              <w:t xml:space="preserve">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756"/>
              <w:ind w:left="-28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695"/>
              <w:spacing w:before="0" w:after="20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6" w:type="dxa"/>
            <w:vAlign w:val="center"/>
            <w:vMerge w:val="continue"/>
            <w:textDirection w:val="lrTb"/>
            <w:noWrap w:val="false"/>
          </w:tcPr>
          <w:p>
            <w:pPr>
              <w:pStyle w:val="695"/>
              <w:spacing w:before="0" w:after="20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1" w:type="dxa"/>
            <w:vAlign w:val="center"/>
            <w:vMerge w:val="continue"/>
            <w:textDirection w:val="lrTb"/>
            <w:noWrap w:val="false"/>
          </w:tcPr>
          <w:p>
            <w:pPr>
              <w:pStyle w:val="695"/>
              <w:spacing w:before="0" w:after="20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vMerge w:val="continue"/>
            <w:textDirection w:val="lrTb"/>
            <w:noWrap w:val="false"/>
          </w:tcPr>
          <w:p>
            <w:pPr>
              <w:pStyle w:val="695"/>
              <w:spacing w:before="0" w:after="20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1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</w:pPr>
            <w:r>
              <w:t xml:space="preserve">7.2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</w:pPr>
            <w:r>
              <w:t xml:space="preserve">4.9.1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1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</w:pPr>
            <w: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1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</w:pPr>
            <w:r>
              <w:t xml:space="preserve">6.7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1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</w:pPr>
            <w:r>
              <w:t xml:space="preserve">6.8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1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</w:pPr>
            <w:r>
              <w:t xml:space="preserve">7.5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1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vMerge w:val="restart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12.0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75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  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НПУ»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</w:p>
        </w:tc>
      </w:tr>
    </w:tbl>
    <w:p>
      <w:pPr>
        <w:pStyle w:val="695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709" w:right="850" w:bottom="822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contextualSpacing w:val="0"/>
      <w:jc w:val="center"/>
      <w:pBdr>
        <w:top w:val="none" w:color="000000" w:sz="4" w:space="14"/>
      </w:pBdr>
      <w:suppressLineNumbers w:val="0"/>
    </w:pPr>
    <w:fldSimple w:instr="PAGE \* MERGEFORMAT">
      <w:r>
        <w:rPr>
          <w:rFonts w:ascii="Times New Roman" w:hAnsi="Times New Roman" w:eastAsia="Times New Roman" w:cs="Times New Roman"/>
          <w:sz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</w:rPr>
    </w:r>
    <w:r>
      <w:rPr>
        <w:rFonts w:ascii="Times New Roman" w:hAnsi="Times New Roman" w:eastAsia="Times New Roman" w:cs="Times New Roman"/>
        <w:sz w:val="28"/>
      </w:rPr>
    </w:r>
    <w:r/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yperlink"/>
    <w:uiPriority w:val="99"/>
    <w:unhideWhenUsed/>
    <w:rPr>
      <w:color w:val="0000ff" w:themeColor="hyperlink"/>
      <w:u w:val="single"/>
    </w:rPr>
  </w:style>
  <w:style w:type="character" w:styleId="693">
    <w:name w:val="footnote reference"/>
    <w:basedOn w:val="728"/>
    <w:uiPriority w:val="99"/>
    <w:unhideWhenUsed/>
    <w:rPr>
      <w:vertAlign w:val="superscript"/>
    </w:rPr>
  </w:style>
  <w:style w:type="character" w:styleId="694">
    <w:name w:val="endnote reference"/>
    <w:basedOn w:val="728"/>
    <w:uiPriority w:val="99"/>
    <w:semiHidden/>
    <w:unhideWhenUsed/>
    <w:rPr>
      <w:vertAlign w:val="superscript"/>
    </w:rPr>
  </w:style>
  <w:style w:type="paragraph" w:styleId="695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/>
      <w:color w:val="auto"/>
      <w:sz w:val="22"/>
      <w:szCs w:val="22"/>
      <w:lang w:val="ru-RU" w:eastAsia="en-US" w:bidi="ar-SA"/>
    </w:rPr>
  </w:style>
  <w:style w:type="paragraph" w:styleId="696">
    <w:name w:val="Heading 1"/>
    <w:basedOn w:val="695"/>
    <w:next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next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695"/>
    <w:next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695"/>
    <w:next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695"/>
    <w:next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06">
    <w:name w:val="Heading 2 Char"/>
    <w:uiPriority w:val="9"/>
    <w:qFormat/>
    <w:rPr>
      <w:rFonts w:ascii="Arial" w:hAnsi="Arial" w:eastAsia="Arial" w:cs="Arial"/>
      <w:sz w:val="34"/>
    </w:rPr>
  </w:style>
  <w:style w:type="character" w:styleId="70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0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4">
    <w:name w:val="Title Char"/>
    <w:uiPriority w:val="10"/>
    <w:qFormat/>
    <w:rPr>
      <w:sz w:val="48"/>
      <w:szCs w:val="48"/>
    </w:rPr>
  </w:style>
  <w:style w:type="character" w:styleId="715">
    <w:name w:val="Subtitle Char"/>
    <w:uiPriority w:val="11"/>
    <w:qFormat/>
    <w:rPr>
      <w:sz w:val="24"/>
      <w:szCs w:val="24"/>
    </w:rPr>
  </w:style>
  <w:style w:type="character" w:styleId="716">
    <w:name w:val="Quote Char"/>
    <w:uiPriority w:val="29"/>
    <w:qFormat/>
    <w:rPr>
      <w:i/>
    </w:rPr>
  </w:style>
  <w:style w:type="character" w:styleId="717">
    <w:name w:val="Intense Quote Char"/>
    <w:uiPriority w:val="30"/>
    <w:qFormat/>
    <w:rPr>
      <w:i/>
    </w:rPr>
  </w:style>
  <w:style w:type="character" w:styleId="718">
    <w:name w:val="Header Char"/>
    <w:uiPriority w:val="99"/>
    <w:qFormat/>
  </w:style>
  <w:style w:type="character" w:styleId="719">
    <w:name w:val="Footer Char"/>
    <w:uiPriority w:val="99"/>
    <w:qFormat/>
  </w:style>
  <w:style w:type="character" w:styleId="720">
    <w:name w:val="Caption Char"/>
    <w:uiPriority w:val="35"/>
    <w:qFormat/>
    <w:rPr>
      <w:b/>
      <w:bCs/>
      <w:color w:val="4f81bd" w:themeColor="accent1"/>
      <w:sz w:val="18"/>
      <w:szCs w:val="18"/>
    </w:rPr>
  </w:style>
  <w:style w:type="character" w:styleId="721">
    <w:name w:val="Интернет-ссылка"/>
    <w:uiPriority w:val="99"/>
    <w:unhideWhenUsed/>
    <w:rPr>
      <w:color w:val="0000ff" w:themeColor="hyperlink"/>
      <w:u w:val="single"/>
    </w:rPr>
  </w:style>
  <w:style w:type="character" w:styleId="722">
    <w:name w:val="Footnote Text Char"/>
    <w:uiPriority w:val="99"/>
    <w:qFormat/>
    <w:rPr>
      <w:sz w:val="18"/>
    </w:rPr>
  </w:style>
  <w:style w:type="character" w:styleId="723">
    <w:name w:val="Привязка сноски"/>
    <w:rPr>
      <w:vertAlign w:val="superscript"/>
    </w:rPr>
  </w:style>
  <w:style w:type="character" w:styleId="724">
    <w:name w:val="Footnote Characters"/>
    <w:uiPriority w:val="99"/>
    <w:unhideWhenUsed/>
    <w:qFormat/>
    <w:rPr>
      <w:vertAlign w:val="superscript"/>
    </w:rPr>
  </w:style>
  <w:style w:type="character" w:styleId="725">
    <w:name w:val="Endnote Text Char"/>
    <w:uiPriority w:val="99"/>
    <w:qFormat/>
    <w:rPr>
      <w:sz w:val="20"/>
    </w:rPr>
  </w:style>
  <w:style w:type="character" w:styleId="726">
    <w:name w:val="Привязка концевой сноски"/>
    <w:rPr>
      <w:vertAlign w:val="superscript"/>
    </w:rPr>
  </w:style>
  <w:style w:type="character" w:styleId="727">
    <w:name w:val="Endnote Characters"/>
    <w:uiPriority w:val="99"/>
    <w:semiHidden/>
    <w:unhideWhenUsed/>
    <w:qFormat/>
    <w:rPr>
      <w:vertAlign w:val="superscript"/>
    </w:rPr>
  </w:style>
  <w:style w:type="character" w:styleId="728" w:default="1">
    <w:name w:val="Default Paragraph Font"/>
    <w:uiPriority w:val="1"/>
    <w:semiHidden/>
    <w:unhideWhenUsed/>
    <w:qFormat/>
  </w:style>
  <w:style w:type="paragraph" w:styleId="729">
    <w:name w:val="Заголовок"/>
    <w:basedOn w:val="695"/>
    <w:next w:val="73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30" w:customStyle="1">
    <w:name w:val="Body Text"/>
    <w:pPr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u w:val="none"/>
      <w:vertAlign w:val="baseline"/>
      <w:lang w:val="ru-RU" w:eastAsia="ru-RU" w:bidi="hi-IN"/>
    </w:rPr>
  </w:style>
  <w:style w:type="paragraph" w:styleId="731">
    <w:name w:val="List"/>
    <w:basedOn w:val="730"/>
    <w:rPr>
      <w:rFonts w:cs="Arial"/>
    </w:rPr>
  </w:style>
  <w:style w:type="paragraph" w:styleId="732">
    <w:name w:val="Caption"/>
    <w:basedOn w:val="695"/>
    <w:next w:val="695"/>
    <w:link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33">
    <w:name w:val="Указатель"/>
    <w:basedOn w:val="695"/>
    <w:qFormat/>
    <w:pPr>
      <w:suppressLineNumbers/>
    </w:pPr>
    <w:rPr>
      <w:rFonts w:cs="Arial"/>
    </w:rPr>
  </w:style>
  <w:style w:type="paragraph" w:styleId="734">
    <w:name w:val="Title"/>
    <w:basedOn w:val="695"/>
    <w:next w:val="69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5">
    <w:name w:val="Subtitle"/>
    <w:basedOn w:val="695"/>
    <w:next w:val="695"/>
    <w:uiPriority w:val="11"/>
    <w:qFormat/>
    <w:pPr>
      <w:spacing w:before="200" w:after="200"/>
    </w:pPr>
    <w:rPr>
      <w:sz w:val="24"/>
      <w:szCs w:val="24"/>
    </w:rPr>
  </w:style>
  <w:style w:type="paragraph" w:styleId="736">
    <w:name w:val="Quote"/>
    <w:basedOn w:val="695"/>
    <w:next w:val="695"/>
    <w:uiPriority w:val="29"/>
    <w:qFormat/>
    <w:pPr>
      <w:ind w:left="720" w:right="720" w:firstLine="0"/>
    </w:pPr>
    <w:rPr>
      <w:i/>
    </w:rPr>
  </w:style>
  <w:style w:type="paragraph" w:styleId="737">
    <w:name w:val="Intense Quote"/>
    <w:basedOn w:val="695"/>
    <w:next w:val="695"/>
    <w:uiPriority w:val="30"/>
    <w:qFormat/>
    <w:pPr>
      <w:ind w:left="720" w:right="720" w:firstLine="0"/>
      <w:spacing w:before="0" w:after="20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8">
    <w:name w:val="Верхний и нижний колонтитулы"/>
    <w:basedOn w:val="695"/>
    <w:qFormat/>
  </w:style>
  <w:style w:type="paragraph" w:styleId="739">
    <w:name w:val="Header"/>
    <w:basedOn w:val="69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40">
    <w:name w:val="Footer"/>
    <w:basedOn w:val="69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41">
    <w:name w:val="footnote text"/>
    <w:basedOn w:val="69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42">
    <w:name w:val="endnote text"/>
    <w:basedOn w:val="69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43">
    <w:name w:val="toc 1"/>
    <w:basedOn w:val="695"/>
    <w:next w:val="695"/>
    <w:uiPriority w:val="39"/>
    <w:unhideWhenUsed/>
    <w:pPr>
      <w:ind w:left="0" w:right="0" w:firstLine="0"/>
      <w:spacing w:before="0" w:after="57"/>
    </w:pPr>
  </w:style>
  <w:style w:type="paragraph" w:styleId="744">
    <w:name w:val="toc 2"/>
    <w:basedOn w:val="695"/>
    <w:next w:val="695"/>
    <w:uiPriority w:val="39"/>
    <w:unhideWhenUsed/>
    <w:pPr>
      <w:ind w:left="283" w:right="0" w:firstLine="0"/>
      <w:spacing w:before="0" w:after="57"/>
    </w:pPr>
  </w:style>
  <w:style w:type="paragraph" w:styleId="745">
    <w:name w:val="toc 3"/>
    <w:basedOn w:val="695"/>
    <w:next w:val="695"/>
    <w:uiPriority w:val="39"/>
    <w:unhideWhenUsed/>
    <w:pPr>
      <w:ind w:left="567" w:right="0" w:firstLine="0"/>
      <w:spacing w:before="0" w:after="57"/>
    </w:pPr>
  </w:style>
  <w:style w:type="paragraph" w:styleId="746">
    <w:name w:val="toc 4"/>
    <w:basedOn w:val="695"/>
    <w:next w:val="695"/>
    <w:uiPriority w:val="39"/>
    <w:unhideWhenUsed/>
    <w:pPr>
      <w:ind w:left="850" w:right="0" w:firstLine="0"/>
      <w:spacing w:before="0" w:after="57"/>
    </w:pPr>
  </w:style>
  <w:style w:type="paragraph" w:styleId="747">
    <w:name w:val="toc 5"/>
    <w:basedOn w:val="695"/>
    <w:next w:val="695"/>
    <w:uiPriority w:val="39"/>
    <w:unhideWhenUsed/>
    <w:pPr>
      <w:ind w:left="1134" w:right="0" w:firstLine="0"/>
      <w:spacing w:before="0" w:after="57"/>
    </w:pPr>
  </w:style>
  <w:style w:type="paragraph" w:styleId="748">
    <w:name w:val="toc 6"/>
    <w:basedOn w:val="695"/>
    <w:next w:val="695"/>
    <w:uiPriority w:val="39"/>
    <w:unhideWhenUsed/>
    <w:pPr>
      <w:ind w:left="1417" w:right="0" w:firstLine="0"/>
      <w:spacing w:before="0" w:after="57"/>
    </w:pPr>
  </w:style>
  <w:style w:type="paragraph" w:styleId="749">
    <w:name w:val="toc 7"/>
    <w:basedOn w:val="695"/>
    <w:next w:val="695"/>
    <w:uiPriority w:val="39"/>
    <w:unhideWhenUsed/>
    <w:pPr>
      <w:ind w:left="1701" w:right="0" w:firstLine="0"/>
      <w:spacing w:before="0" w:after="57"/>
    </w:pPr>
  </w:style>
  <w:style w:type="paragraph" w:styleId="750">
    <w:name w:val="toc 8"/>
    <w:basedOn w:val="695"/>
    <w:next w:val="695"/>
    <w:uiPriority w:val="39"/>
    <w:unhideWhenUsed/>
    <w:pPr>
      <w:ind w:left="1984" w:right="0" w:firstLine="0"/>
      <w:spacing w:before="0" w:after="57"/>
    </w:pPr>
  </w:style>
  <w:style w:type="paragraph" w:styleId="751">
    <w:name w:val="toc 9"/>
    <w:basedOn w:val="695"/>
    <w:next w:val="695"/>
    <w:uiPriority w:val="39"/>
    <w:unhideWhenUsed/>
    <w:pPr>
      <w:ind w:left="2268" w:right="0" w:firstLine="0"/>
      <w:spacing w:before="0" w:after="57"/>
    </w:pPr>
  </w:style>
  <w:style w:type="paragraph" w:styleId="752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/>
      <w:color w:val="auto"/>
      <w:sz w:val="22"/>
      <w:szCs w:val="22"/>
      <w:lang w:val="ru-RU" w:eastAsia="en-US" w:bidi="ar-SA"/>
    </w:rPr>
  </w:style>
  <w:style w:type="paragraph" w:styleId="753">
    <w:name w:val="table of figures"/>
    <w:basedOn w:val="695"/>
    <w:next w:val="695"/>
    <w:uiPriority w:val="99"/>
    <w:unhideWhenUsed/>
    <w:qFormat/>
    <w:pPr>
      <w:spacing w:before="0" w:after="0" w:afterAutospacing="0"/>
    </w:pPr>
  </w:style>
  <w:style w:type="paragraph" w:styleId="754">
    <w:name w:val="No Spacing"/>
    <w:basedOn w:val="695"/>
    <w:uiPriority w:val="1"/>
    <w:qFormat/>
    <w:pPr>
      <w:spacing w:before="0" w:after="0" w:line="240" w:lineRule="auto"/>
    </w:pPr>
  </w:style>
  <w:style w:type="paragraph" w:styleId="755">
    <w:name w:val="List Paragraph"/>
    <w:basedOn w:val="695"/>
    <w:uiPriority w:val="34"/>
    <w:qFormat/>
    <w:pPr>
      <w:contextualSpacing/>
      <w:ind w:left="720" w:firstLine="0"/>
      <w:spacing w:before="0" w:after="200"/>
    </w:pPr>
  </w:style>
  <w:style w:type="paragraph" w:styleId="756" w:customStyle="1">
    <w:name w:val="Содержимое таблицы"/>
    <w:qFormat/>
    <w:pPr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  <w:lang w:val="ru-RU" w:eastAsia="ru-RU" w:bidi="hi-IN"/>
    </w:rPr>
  </w:style>
  <w:style w:type="paragraph" w:styleId="757" w:customStyle="1">
    <w:name w:val="Обычная таблица1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ru-RU" w:eastAsia="ar-SA" w:bidi="hi-IN"/>
    </w:rPr>
  </w:style>
  <w:style w:type="numbering" w:styleId="758" w:default="1">
    <w:name w:val="No List"/>
    <w:uiPriority w:val="99"/>
    <w:semiHidden/>
    <w:unhideWhenUsed/>
    <w:qFormat/>
  </w:style>
  <w:style w:type="table" w:styleId="759">
    <w:name w:val="Table Grid"/>
    <w:basedOn w:val="88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Table Grid Light"/>
    <w:basedOn w:val="88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88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2">
    <w:name w:val="Plain Table 2"/>
    <w:basedOn w:val="88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3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bf6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ddebf6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bf6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ddebf6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febf6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dfebf6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67a4d8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5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90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91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4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92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b4d2eb" w:fill="b4d2eb" w:themeFill="accent1" w:themeFillTint="75"/>
      </w:tcPr>
    </w:tblStylePr>
    <w:tblStylePr w:type="band1Vert">
      <w:tcPr>
        <w:shd w:val="clear" w:color="b4d2eb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cPr>
        <w:shd w:val="clear" w:color="5b9bd5" w:fill="5b9bd5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6c3a1" w:fill="f6c3a1" w:themeFill="accent2" w:themeFillTint="75"/>
      </w:tcPr>
    </w:tblStylePr>
    <w:tblStylePr w:type="band1Vert">
      <w:tcPr>
        <w:shd w:val="clear" w:color="f6c3a1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shd w:val="clear" w:color="ed7d31" w:fill="ed7d31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d6d6d6" w:fill="d6d6d6" w:themeFill="accent3" w:themeFillTint="75"/>
      </w:tcPr>
    </w:tblStylePr>
    <w:tblStylePr w:type="band1Vert">
      <w:tcPr>
        <w:shd w:val="clear" w:color="d6d6d6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shd w:val="clear" w:color="a5a5a5" w:fill="a5a5a5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ee189" w:fill="fee189" w:themeFill="accent4" w:themeFillTint="75"/>
      </w:tcPr>
    </w:tblStylePr>
    <w:tblStylePr w:type="band1Vert">
      <w:tcPr>
        <w:shd w:val="clear" w:color="fee189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shd w:val="clear" w:color="ffc000" w:fill="ffc000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abfe3" w:fill="aabfe3" w:themeFill="accent5" w:themeFillTint="75"/>
      </w:tcPr>
    </w:tblStylePr>
    <w:tblStylePr w:type="band1Vert">
      <w:tcPr>
        <w:shd w:val="clear" w:color="aabfe3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cPr>
        <w:shd w:val="clear" w:color="4472c4" w:fill="4472c4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bedba8" w:fill="bedba8" w:themeFill="accent6" w:themeFillTint="75"/>
      </w:tcPr>
    </w:tblStylePr>
    <w:tblStylePr w:type="band1Vert">
      <w:tcPr>
        <w:shd w:val="clear" w:color="bedba8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shd w:val="clear" w:color="70ad47" w:fill="70ad47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ddebf6" w:fill="ddebf6" w:themeFill="accent1" w:themeFillTint="34"/>
      </w:tcPr>
    </w:tblStylePr>
    <w:tblStylePr w:type="band1Vert">
      <w:tcPr>
        <w:shd w:val="clear" w:color="ddebf6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ededed" w:fill="ededed" w:themeFill="accent3" w:themeFillTint="34"/>
      </w:tcPr>
    </w:tblStylePr>
    <w:tblStylePr w:type="band1Vert">
      <w:tcPr>
        <w:shd w:val="clear" w:color="ededed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ef2cb" w:fill="fef2cb" w:themeFill="accent4" w:themeFillTint="34"/>
      </w:tcPr>
    </w:tblStylePr>
    <w:tblStylePr w:type="band1Vert">
      <w:tcPr>
        <w:shd w:val="clear" w:color="fef2cb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d9e2f2" w:fill="d9e2f2" w:themeFill="accent5" w:themeFillTint="34"/>
      </w:tcPr>
    </w:tblStylePr>
    <w:tblStylePr w:type="band1Vert">
      <w:tcPr>
        <w:shd w:val="clear" w:color="d9e2f2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7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e2efd8" w:fill="e2efd8" w:themeFill="accent6" w:themeFillTint="34"/>
      </w:tcPr>
    </w:tblStylePr>
    <w:tblStylePr w:type="band1Vert">
      <w:tcPr>
        <w:shd w:val="clear" w:color="e2efd8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8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bf6" w:fill="ddebf6" w:themeFill="accent1" w:themeFillTint="34"/>
      </w:tcPr>
    </w:tblStylePr>
    <w:tblStylePr w:type="band1Vert">
      <w:tcPr>
        <w:shd w:val="clear" w:color="ddebf6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deded" w:fill="ededed" w:themeFill="accent3" w:themeFillTint="34"/>
      </w:tcPr>
    </w:tblStylePr>
    <w:tblStylePr w:type="band1Vert">
      <w:tcPr>
        <w:shd w:val="clear" w:color="ededed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ef2cb" w:fill="fef2cb" w:themeFill="accent4" w:themeFillTint="34"/>
      </w:tcPr>
    </w:tblStylePr>
    <w:tblStylePr w:type="band1Vert">
      <w:tcPr>
        <w:shd w:val="clear" w:color="fef2cb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9e2f2" w:fill="d9e2f2" w:themeFill="accent5" w:themeFillTint="34"/>
      </w:tcPr>
    </w:tblStylePr>
    <w:tblStylePr w:type="band1Vert">
      <w:tcPr>
        <w:shd w:val="clear" w:color="d9e2f2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e2efd8" w:fill="e2efd8" w:themeFill="accent6" w:themeFillTint="34"/>
      </w:tcPr>
    </w:tblStylePr>
    <w:tblStylePr w:type="band1Vert">
      <w:tcPr>
        <w:shd w:val="clear" w:color="e2efd8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6f4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d5e6f4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cf0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cfdcf0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bebd0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dbebd0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29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5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4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eabdb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ad08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6f4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d5e6f4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cf0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cfdcf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bebd0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dbebd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4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5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4b185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4b185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4b185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5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6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7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d864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d864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d864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4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8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8eabdb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8eabdb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8eabdb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eabdb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9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ad08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ad08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ad08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ad08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0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51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53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54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55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56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57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59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60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61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62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63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64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65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ce0f1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cce0f1" w:fill="cce0f1" w:themeFill="accent1" w:themeFillTint="50"/>
      </w:tcPr>
    </w:tblStylePr>
    <w:tblStylePr w:type="firstCol">
      <w:rPr>
        <w:color w:val="f2f2f2"/>
        <w:sz w:val="22"/>
      </w:rPr>
      <w:tcPr>
        <w:shd w:val="clear" w:color="67a4d8" w:fill="67a4d8" w:themeFill="accent1" w:themeFillTint="EA"/>
      </w:tcPr>
    </w:tblStylePr>
    <w:tblStylePr w:type="firstRow">
      <w:rPr>
        <w:color w:val="f2f2f2"/>
        <w:sz w:val="22"/>
      </w:rPr>
      <w:tcPr>
        <w:shd w:val="clear" w:color="67a4d8" w:fill="67a4d8" w:themeFill="accent1" w:themeFillTint="EA"/>
      </w:tcPr>
    </w:tblStylePr>
    <w:tblStylePr w:type="lastCol">
      <w:rPr>
        <w:color w:val="f2f2f2"/>
        <w:sz w:val="22"/>
      </w:rPr>
      <w:tcPr>
        <w:shd w:val="clear" w:color="67a4d8" w:fill="67a4d8" w:themeFill="accent1" w:themeFillTint="EA"/>
      </w:tcPr>
    </w:tblStylePr>
    <w:tblStylePr w:type="lastRow">
      <w:rPr>
        <w:color w:val="f2f2f2"/>
        <w:sz w:val="22"/>
      </w:rPr>
      <w:tcPr>
        <w:shd w:val="clear" w:color="67a4d8" w:fill="67a4d8" w:themeFill="accent1" w:themeFillTint="EA"/>
      </w:tcPr>
    </w:tblStylePr>
  </w:style>
  <w:style w:type="table" w:styleId="866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5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4b185" w:fill="f4b185" w:themeFill="accent2" w:themeFillTint="97"/>
      </w:tcPr>
    </w:tblStylePr>
    <w:tblStylePr w:type="lastCol">
      <w:rPr>
        <w:color w:val="f2f2f2"/>
        <w:sz w:val="22"/>
      </w:rPr>
      <w:tcPr>
        <w:shd w:val="clear" w:color="f4b185" w:fill="f4b185" w:themeFill="accent2" w:themeFillTint="97"/>
      </w:tcPr>
    </w:tblStylePr>
    <w:tblStylePr w:type="lastRow">
      <w:rPr>
        <w:color w:val="f2f2f2"/>
        <w:sz w:val="22"/>
      </w:rPr>
      <w:tcPr>
        <w:shd w:val="clear" w:color="f4b185" w:fill="f4b185" w:themeFill="accent2" w:themeFillTint="97"/>
      </w:tcPr>
    </w:tblStylePr>
  </w:style>
  <w:style w:type="table" w:styleId="867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deded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68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ef2cb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d864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d864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d864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d864" w:fill="ffd864" w:themeFill="accent4" w:themeFillTint="9A"/>
      </w:tcPr>
    </w:tblStylePr>
  </w:style>
  <w:style w:type="table" w:styleId="869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9e2f2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70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2efd8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71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72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ce0f1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cce0f1" w:fill="cce0f1" w:themeFill="accent1" w:themeFillTint="50"/>
      </w:tcPr>
    </w:tblStylePr>
    <w:tblStylePr w:type="firstCol">
      <w:rPr>
        <w:color w:val="f2f2f2"/>
        <w:sz w:val="22"/>
      </w:rPr>
      <w:tcPr>
        <w:shd w:val="clear" w:color="67a4d8" w:fill="67a4d8" w:themeFill="accent1" w:themeFillTint="EA"/>
      </w:tcPr>
    </w:tblStylePr>
    <w:tblStylePr w:type="firstRow">
      <w:rPr>
        <w:color w:val="f2f2f2"/>
        <w:sz w:val="22"/>
      </w:rPr>
      <w:tcPr>
        <w:shd w:val="clear" w:color="67a4d8" w:fill="67a4d8" w:themeFill="accent1" w:themeFillTint="EA"/>
      </w:tcPr>
    </w:tblStylePr>
    <w:tblStylePr w:type="lastCol">
      <w:rPr>
        <w:color w:val="f2f2f2"/>
        <w:sz w:val="22"/>
      </w:rPr>
      <w:tcPr>
        <w:shd w:val="clear" w:color="67a4d8" w:fill="67a4d8" w:themeFill="accent1" w:themeFillTint="EA"/>
      </w:tcPr>
    </w:tblStylePr>
    <w:tblStylePr w:type="lastRow">
      <w:rPr>
        <w:color w:val="f2f2f2"/>
        <w:sz w:val="22"/>
      </w:rPr>
      <w:tcPr>
        <w:shd w:val="clear" w:color="67a4d8" w:fill="67a4d8" w:themeFill="accent1" w:themeFillTint="EA"/>
      </w:tcPr>
    </w:tblStylePr>
  </w:style>
  <w:style w:type="table" w:styleId="873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5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4b185" w:fill="f4b185" w:themeFill="accent2" w:themeFillTint="97"/>
      </w:tcPr>
    </w:tblStylePr>
    <w:tblStylePr w:type="lastCol">
      <w:rPr>
        <w:color w:val="f2f2f2"/>
        <w:sz w:val="22"/>
      </w:rPr>
      <w:tcPr>
        <w:shd w:val="clear" w:color="f4b185" w:fill="f4b185" w:themeFill="accent2" w:themeFillTint="97"/>
      </w:tcPr>
    </w:tblStylePr>
    <w:tblStylePr w:type="lastRow">
      <w:rPr>
        <w:color w:val="f2f2f2"/>
        <w:sz w:val="22"/>
      </w:rPr>
      <w:tcPr>
        <w:shd w:val="clear" w:color="f4b185" w:fill="f4b185" w:themeFill="accent2" w:themeFillTint="97"/>
      </w:tcPr>
    </w:tblStylePr>
  </w:style>
  <w:style w:type="table" w:styleId="874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deded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75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ef2cb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d864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d864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d864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d864" w:fill="ffd864" w:themeFill="accent4" w:themeFillTint="9A"/>
      </w:tcPr>
    </w:tblStylePr>
  </w:style>
  <w:style w:type="table" w:styleId="876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9e2f2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77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2efd8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78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9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81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82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83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84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8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sek</cp:lastModifiedBy>
  <cp:revision>11</cp:revision>
  <dcterms:modified xsi:type="dcterms:W3CDTF">2025-09-24T09:16:42Z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