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B292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Фрагмент карты функциональных зон поселения или городского округа.pdf_1"/>
          </v:shape>
        </w:pict>
      </w:r>
    </w:p>
    <w:sectPr w:rsidR="00EC2F08" w:rsidSect="00CB2921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3E6" w:rsidRDefault="004223E6">
      <w:pPr>
        <w:spacing w:after="0" w:line="240" w:lineRule="auto"/>
      </w:pPr>
      <w:r>
        <w:separator/>
      </w:r>
    </w:p>
  </w:endnote>
  <w:endnote w:type="continuationSeparator" w:id="0">
    <w:p w:rsidR="004223E6" w:rsidRDefault="00422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3E6" w:rsidRDefault="004223E6">
      <w:pPr>
        <w:spacing w:after="0" w:line="240" w:lineRule="auto"/>
      </w:pPr>
      <w:r>
        <w:separator/>
      </w:r>
    </w:p>
  </w:footnote>
  <w:footnote w:type="continuationSeparator" w:id="0">
    <w:p w:rsidR="004223E6" w:rsidRDefault="004223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223E6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CB2921"/>
    <w:rsid w:val="00D14880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2025-09-10T14:37:00Z</dcterms:modified>
</cp:coreProperties>
</file>