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4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after="0" w:line="283" w:lineRule="atLeast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25 сентября 2025 г. № 820-п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                 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142"/>
        <w:jc w:val="left"/>
        <w:spacing w:after="0" w:line="283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40"/>
          <w:highlight w:val="none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0"/>
        </w:numPr>
        <w:ind w:left="-397" w:right="-113" w:firstLine="397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4.1.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Сп1.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zh-CN" w:bidi="ar-SA"/>
        </w:rPr>
        <w:t xml:space="preserve">Зона специального назначения, связанная с захоронениями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830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0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Сп1.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lang w:eastAsia="zh-CN" w:bidi="ar-SA"/>
        </w:rPr>
        <w:t xml:space="preserve">Зона специального назначения, связанная с захоронениями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выделена для обеспечения правовых условий использования территорий, занятых кладбищами.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0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Сп1.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lang w:eastAsia="zh-CN" w:bidi="ar-SA"/>
        </w:rPr>
        <w:t xml:space="preserve">Зона специального назначения, связанная с захоронениями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7.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6"/>
        <w:contextualSpacing w:val="0"/>
        <w:ind w:right="-283"/>
        <w:jc w:val="right"/>
        <w:rPr>
          <w:rFonts w:cs="Times New Roman"/>
          <w:color w:val="auto"/>
        </w:rPr>
        <w:suppressLineNumbers w:val="0"/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7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4107"/>
        <w:gridCol w:w="24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ритуальная деятельность.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7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836"/>
        <w:jc w:val="right"/>
      </w:pPr>
      <w:r/>
      <w:r/>
    </w:p>
    <w:p>
      <w:pPr>
        <w:pStyle w:val="830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Сп1.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lang w:eastAsia="zh-CN" w:bidi="ar-SA"/>
        </w:rPr>
        <w:t xml:space="preserve">Зона специального назначения, связанная </w:t>
        <w:br/>
        <w:t xml:space="preserve">с захоронениями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8.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6"/>
        <w:contextualSpacing w:val="0"/>
        <w:ind w:right="-283"/>
        <w:jc w:val="right"/>
        <w:spacing w:line="240" w:lineRule="auto"/>
        <w:rPr>
          <w:rFonts w:cs="Times New Roman"/>
          <w:color w:val="auto"/>
        </w:rPr>
        <w:suppressLineNumbers w:val="0"/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zh-CN" w:bidi="ar-SA"/>
        </w:rPr>
        <w:t xml:space="preserve">8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72"/>
        <w:gridCol w:w="854"/>
        <w:gridCol w:w="1134"/>
        <w:gridCol w:w="1133"/>
        <w:gridCol w:w="1134"/>
        <w:gridCol w:w="1421"/>
        <w:gridCol w:w="1704"/>
        <w:gridCol w:w="1409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vMerge w:val="restart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Merge w:val="restart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Merge w:val="restart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7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100000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37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НПУ»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</w:tbl>
    <w:p>
      <w:pPr>
        <w:pStyle w:val="830"/>
        <w:spacing w:before="0" w:after="0" w:line="283" w:lineRule="atLeast"/>
        <w:rPr>
          <w:color w:val="auto"/>
        </w:rPr>
      </w:pPr>
      <w:r>
        <w:rPr>
          <w:color w:val="auto"/>
          <w:sz w:val="28"/>
        </w:rPr>
      </w:r>
      <w:r>
        <w:rPr>
          <w:color w:val="auto"/>
        </w:rPr>
      </w:r>
      <w:r>
        <w:rPr>
          <w:color w:val="auto"/>
        </w:rPr>
      </w:r>
    </w:p>
    <w:p>
      <w:pPr>
        <w:pStyle w:val="830"/>
        <w:ind w:left="-283" w:right="-141" w:firstLine="283"/>
        <w:spacing w:before="0" w:after="200"/>
      </w:pPr>
      <w:r/>
      <w:r/>
    </w:p>
    <w:p>
      <w:pPr>
        <w:ind w:left="-425" w:right="0" w:firstLine="567"/>
        <w:jc w:val="both"/>
        <w:spacing w:before="0" w:after="0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debf6" w:fill="ddebf6" w:themeFill="accent1" w:themeFillTint="34"/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deded" w:fill="ededed" w:themeFill="accent3" w:themeFillTint="34"/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ef2cb" w:fill="fef2cb" w:themeFill="accent4" w:themeFillTint="34"/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9e2f2" w:fill="d9e2f2" w:themeFill="accent5" w:themeFillTint="34"/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2efd8" w:fill="e2efd8" w:themeFill="accent6" w:themeFillTint="34"/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4b185" w:fill="f4b185" w:themeFill="accent2" w:themeFillTint="97"/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d864" w:fill="ffd864" w:themeFill="accent4" w:themeFillTint="9A"/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8eabdb" w:fill="8eabdb" w:themeFill="accent5" w:themeFillTint="9A"/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ad08f" w:fill="aad08f" w:themeFill="accent6" w:themeFillTint="98"/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Body Text"/>
    <w:pPr>
      <w:contextualSpacing w:val="0"/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7" w:customStyle="1">
    <w:name w:val="Содержимое таблицы"/>
    <w:qFormat/>
    <w:pPr>
      <w:contextualSpacing w:val="0"/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8" w:customStyle="1">
    <w:name w:val="Обычная таблиц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sek</cp:lastModifiedBy>
  <cp:revision>11</cp:revision>
  <dcterms:modified xsi:type="dcterms:W3CDTF">2025-09-29T09:54:06Z</dcterms:modified>
</cp:coreProperties>
</file>