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ind w:left="0" w:right="0" w:firstLine="5669"/>
        <w:spacing w:before="0" w:after="0" w:line="283" w:lineRule="atLeast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1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651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</w:p>
    <w:p>
      <w:pPr>
        <w:pStyle w:val="651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</w:p>
    <w:p>
      <w:pPr>
        <w:pStyle w:val="651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</w:p>
    <w:p>
      <w:pPr>
        <w:ind w:left="0" w:right="0" w:firstLine="5669"/>
        <w:spacing w:before="0" w:after="0" w:line="283" w:lineRule="atLeast"/>
        <w:rPr>
          <w:rFonts w:ascii="Times New Roman" w:hAnsi="Times New Roman" w:eastAsia="Times New Roman" w:cs="Times New Roman"/>
          <w:color w:val="auto"/>
          <w14:ligatures w14:val="none"/>
        </w:rPr>
      </w:pPr>
      <w:r>
        <w:rPr>
          <w:rFonts w:ascii="Times New Roman" w:hAnsi="Times New Roman" w:eastAsia="Times New Roman" w:cs="Times New Roman"/>
          <w:color w:val="auto"/>
        </w:rPr>
        <w:t xml:space="preserve">от 08 сентября 2025 г. № 757-п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  <w14:ligatures w14:val="none"/>
        </w:rPr>
      </w:r>
    </w:p>
    <w:p>
      <w:pPr>
        <w:pStyle w:val="651"/>
        <w:ind w:left="0" w:right="0" w:firstLine="283"/>
        <w:jc w:val="both"/>
        <w:spacing w:before="0" w:beforeAutospacing="0" w:after="0" w:afterAutospacing="0" w:line="283" w:lineRule="atLeast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51"/>
        <w:numPr>
          <w:ilvl w:val="0"/>
          <w:numId w:val="0"/>
        </w:numPr>
        <w:ind w:left="-397" w:right="-113" w:firstLine="397"/>
        <w:jc w:val="both"/>
        <w:spacing w:before="0" w:beforeAutospacing="0" w:after="0" w:afterAutospacing="0" w:line="288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П-2. Зона складская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51"/>
        <w:ind w:left="-283" w:right="-141" w:firstLine="567"/>
        <w:jc w:val="both"/>
        <w:spacing w:before="0" w:after="0" w:line="288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1"/>
        <w:ind w:left="-397" w:right="-113" w:firstLine="397"/>
        <w:jc w:val="both"/>
        <w:spacing w:before="0" w:beforeAutospacing="0" w:after="0" w:afterAutospacing="0" w:line="288" w:lineRule="auto"/>
        <w:widowControl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  <w:lang w:eastAsia="zh-CN" w:bidi="ar-SA"/>
        </w:rPr>
        <w:t xml:space="preserve">П-2. Зона складская выделена для обеспечения правовых условий формирования коммунально-складских предприятий, хозяйственных и гаражных образований.</w:t>
      </w:r>
      <w:r>
        <w:rPr>
          <w:sz w:val="27"/>
          <w:szCs w:val="27"/>
        </w:rPr>
      </w:r>
    </w:p>
    <w:p>
      <w:pPr>
        <w:pStyle w:val="651"/>
        <w:ind w:left="-397" w:right="-113" w:firstLine="397"/>
        <w:jc w:val="both"/>
        <w:spacing w:before="0" w:beforeAutospacing="0" w:after="0" w:afterAutospacing="0" w:line="288" w:lineRule="auto"/>
        <w:widowControl/>
        <w:rPr>
          <w:sz w:val="27"/>
          <w:szCs w:val="27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Cs/>
          <w:color w:val="auto"/>
          <w:sz w:val="27"/>
          <w:szCs w:val="27"/>
          <w:lang w:eastAsia="zh-CN" w:bidi="ar-SA"/>
        </w:rPr>
        <w:t xml:space="preserve">П-2. Зона складская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lang w:eastAsia="zh-CN" w:bidi="ar-SA"/>
        </w:rPr>
        <w:t xml:space="preserve">» представлены в таблице 1.</w:t>
      </w:r>
      <w:r>
        <w:rPr>
          <w:sz w:val="27"/>
          <w:szCs w:val="27"/>
        </w:rPr>
      </w:r>
    </w:p>
    <w:p>
      <w:pPr>
        <w:pStyle w:val="686"/>
        <w:ind w:left="-283" w:right="-141" w:firstLine="283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 </w:t>
      </w: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</w:t>
      </w:r>
      <w:r>
        <w:rPr>
          <w:rFonts w:eastAsia="NSimSun" w:cs="Times New Roman"/>
          <w:color w:val="auto"/>
          <w:lang w:eastAsia="zh-CN" w:bidi="ar-SA"/>
        </w:rPr>
      </w:r>
    </w:p>
    <w:tbl>
      <w:tblPr>
        <w:tblW w:w="9921" w:type="dxa"/>
        <w:tblInd w:w="-425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68"/>
        <w:gridCol w:w="4976"/>
        <w:gridCol w:w="197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6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76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</w:p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restart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t xml:space="preserve">Основные виды разрешенного использования</w:t>
            </w:r>
            <w:r>
              <w:rPr>
                <w:rFonts w:eastAsia="Times New Roman" w:cs="Times New Roman"/>
              </w:rPr>
            </w:r>
          </w:p>
          <w:p>
            <w:pPr>
              <w:pStyle w:val="716"/>
              <w:ind w:left="0" w:right="-141" w:firstLine="0"/>
              <w:jc w:val="center"/>
              <w:spacing w:before="0" w:after="0"/>
              <w:widowControl w:val="off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57" w:right="0" w:firstLine="113"/>
              <w:jc w:val="left"/>
              <w:keepLines w:val="0"/>
              <w:keepNext w:val="0"/>
              <w:spacing w:before="0" w:beforeAutospacing="0" w:after="0" w:afterAutospacing="0" w:line="240" w:lineRule="auto"/>
              <w:shd w:val="nil" w:color="auto"/>
              <w:widowControl w:val="off"/>
              <w:suppressLineNumbers/>
            </w:pPr>
            <w:r>
              <w:rPr>
                <w:rFonts w:eastAsia="Calibri" w:cs="Calibri"/>
                <w:sz w:val="24"/>
                <w:szCs w:val="22"/>
                <w:shd w:val="clear" w:color="auto" w:fill="auto"/>
                <w:lang w:val="ru-RU" w:eastAsia="zh-CN" w:bidi="ar-SA"/>
              </w:rPr>
              <w:t xml:space="preserve">х</w:t>
            </w:r>
            <w:r>
              <w:rPr>
                <w:shd w:val="clear" w:color="auto" w:fill="auto"/>
              </w:rPr>
              <w:t xml:space="preserve">ранение автотранспорта;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70" w:firstLine="283"/>
              <w:jc w:val="center"/>
              <w:keepLines w:val="0"/>
              <w:keepNext w:val="0"/>
              <w:spacing w:before="0" w:beforeAutospacing="0" w:after="0" w:afterAutospacing="0" w:line="240" w:lineRule="auto"/>
              <w:shd w:val="nil" w:color="auto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2.7.1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rFonts w:cs="Times New Roman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 xml:space="preserve">размещение гаражей для собственных нужд;</w:t>
            </w:r>
            <w:r>
              <w:rPr>
                <w:rFonts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2.7.2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716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color w:val="auto"/>
              </w:rPr>
            </w:pPr>
            <w:r>
              <w:t xml:space="preserve">предоставление коммунальных услуг;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651"/>
              <w:ind w:left="28" w:firstLine="0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color w:val="auto"/>
              </w:rPr>
            </w:pPr>
            <w:r>
              <w:t xml:space="preserve">энергетика;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6.7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651"/>
              <w:ind w:left="28" w:firstLine="0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color w:val="auto"/>
              </w:rPr>
            </w:pPr>
            <w:r>
              <w:t xml:space="preserve">связь;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6.8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651"/>
              <w:ind w:left="28" w:firstLine="0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color w:val="auto"/>
              </w:rPr>
            </w:pPr>
            <w:r/>
            <w:bookmarkStart w:id="0" w:name="undefined"/>
            <w:r>
              <w:rPr>
                <w:color w:val="auto"/>
              </w:rPr>
              <w:t xml:space="preserve">склад</w:t>
            </w:r>
            <w:bookmarkEnd w:id="0"/>
            <w:r>
              <w:rPr>
                <w:color w:val="auto"/>
              </w:rPr>
              <w:t xml:space="preserve">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6.9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vMerge w:val="continue"/>
            <w:textDirection w:val="lrTb"/>
            <w:noWrap w:val="false"/>
          </w:tcPr>
          <w:p>
            <w:pPr>
              <w:pStyle w:val="651"/>
              <w:ind w:left="28" w:firstLine="0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13" w:right="0" w:firstLine="0"/>
              <w:jc w:val="left"/>
              <w:keepLines w:val="0"/>
              <w:keepNext w:val="0"/>
              <w:spacing w:before="0" w:beforeAutospacing="0" w:after="0" w:afterAutospacing="0" w:line="240" w:lineRule="auto"/>
              <w:shd w:val="nil" w:color="auto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складские площадки.</w:t>
            </w:r>
            <w:r>
              <w:rPr>
                <w:color w:val="000000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13" w:firstLine="283"/>
              <w:jc w:val="center"/>
              <w:keepLines w:val="0"/>
              <w:keepNext w:val="0"/>
              <w:spacing w:before="0" w:beforeAutospacing="0" w:after="0" w:afterAutospacing="0" w:line="240" w:lineRule="auto"/>
              <w:shd w:val="nil" w:color="auto"/>
              <w:widowControl w:val="off"/>
              <w:rPr>
                <w:color w:val="000000"/>
                <w:shd w:val="clear" w:color="auto" w:fill="auto"/>
              </w:rPr>
              <w:suppressLineNumbers/>
            </w:pPr>
            <w:r>
              <w:rPr>
                <w:color w:val="000000"/>
                <w:shd w:val="clear" w:color="auto" w:fill="auto"/>
              </w:rPr>
              <w:t xml:space="preserve">6.9.1</w:t>
            </w:r>
            <w:r>
              <w:rPr>
                <w:color w:val="000000"/>
                <w:shd w:val="clear" w:color="auto" w:fill="auto"/>
              </w:rPr>
            </w:r>
          </w:p>
        </w:tc>
      </w:tr>
      <w:tr>
        <w:tblPrEx/>
        <w:trPr>
          <w:trHeight w:val="2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объекты дорожного сервиса</w:t>
            </w:r>
            <w:r>
              <w:rPr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4.9.1</w:t>
            </w:r>
            <w:r>
              <w:rPr>
                <w:shd w:val="clear" w:color="auto" w:fill="auto"/>
              </w:rPr>
            </w:r>
          </w:p>
        </w:tc>
      </w:tr>
      <w:tr>
        <w:tblPrEx/>
        <w:trPr>
          <w:trHeight w:val="84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68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</w:p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976" w:type="dxa"/>
            <w:textDirection w:val="lrTb"/>
            <w:noWrap w:val="false"/>
          </w:tcPr>
          <w:p>
            <w:pPr>
              <w:pStyle w:val="716"/>
              <w:ind w:left="142" w:right="-5" w:firstLine="0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</w:p>
        </w:tc>
      </w:tr>
    </w:tbl>
    <w:p>
      <w:pPr>
        <w:pStyle w:val="651"/>
        <w:ind w:left="-142" w:right="-141" w:firstLine="567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r>
    </w:p>
    <w:p>
      <w:pPr>
        <w:pStyle w:val="651"/>
        <w:ind w:left="-397" w:right="-113" w:firstLine="397"/>
        <w:jc w:val="both"/>
        <w:spacing w:before="0" w:after="0" w:line="288" w:lineRule="auto"/>
        <w:rPr>
          <w:rFonts w:ascii="Times New Roman" w:hAnsi="Times New Roman" w:eastAsia="Times New Roman" w:cs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zh-CN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«П-2. Зона складская» представлены в таблице 2.               </w:t>
      </w: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</w:p>
    <w:p>
      <w:pPr>
        <w:pStyle w:val="652"/>
        <w:contextualSpacing/>
        <w:ind w:left="-283" w:right="-141" w:firstLine="283"/>
        <w:jc w:val="right"/>
        <w:spacing w:before="0"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</w:r>
    </w:p>
    <w:tbl>
      <w:tblPr>
        <w:tblW w:w="10063" w:type="dxa"/>
        <w:tblInd w:w="-425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4A0" w:firstRow="1" w:lastRow="0" w:firstColumn="1" w:lastColumn="0" w:noHBand="0" w:noVBand="1"/>
      </w:tblPr>
      <w:tblGrid>
        <w:gridCol w:w="1335"/>
        <w:gridCol w:w="1078"/>
        <w:gridCol w:w="1079"/>
        <w:gridCol w:w="1102"/>
        <w:gridCol w:w="1102"/>
        <w:gridCol w:w="1392"/>
        <w:gridCol w:w="1703"/>
        <w:gridCol w:w="1270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Merge w:val="restart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tabs>
                <w:tab w:val="clear" w:pos="708" w:leader="none"/>
                <w:tab w:val="left" w:pos="1276" w:leader="none"/>
              </w:tabs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</w:p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tabs>
                <w:tab w:val="clear" w:pos="708" w:leader="none"/>
                <w:tab w:val="left" w:pos="1276" w:leader="none"/>
              </w:tabs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</w:p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tabs>
                <w:tab w:val="clear" w:pos="708" w:leader="none"/>
                <w:tab w:val="left" w:pos="1276" w:leader="none"/>
              </w:tabs>
              <w:rPr>
                <w:color w:val="auto"/>
              </w:rPr>
            </w:pPr>
            <w:r>
              <w:t xml:space="preserve">решенного использования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7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4" w:type="dxa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</w:p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Merge w:val="restart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</w:p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</w:p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</w:p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Merge w:val="restart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</w:p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restart"/>
            <w:textDirection w:val="lrTb"/>
            <w:noWrap w:val="false"/>
          </w:tcPr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 в границах земельного участка</w:t>
            </w:r>
            <w:r>
              <w:rPr>
                <w:color w:val="auto"/>
              </w:rPr>
            </w:r>
          </w:p>
          <w:p>
            <w:pPr>
              <w:pStyle w:val="716"/>
              <w:ind w:left="0" w:right="-5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</w:p>
        </w:tc>
      </w:tr>
      <w:tr>
        <w:tblPrEx/>
        <w:trPr>
          <w:trHeight w:val="147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vMerge w:val="continue"/>
            <w:textDirection w:val="lrTb"/>
            <w:noWrap w:val="false"/>
          </w:tcPr>
          <w:p>
            <w:pPr>
              <w:pStyle w:val="716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vMerge w:val="continue"/>
            <w:textDirection w:val="lrTb"/>
            <w:noWrap w:val="false"/>
          </w:tcPr>
          <w:p>
            <w:pPr>
              <w:pStyle w:val="716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vMerge w:val="continue"/>
            <w:textDirection w:val="lrTb"/>
            <w:noWrap w:val="false"/>
          </w:tcPr>
          <w:p>
            <w:pPr>
              <w:pStyle w:val="71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pStyle w:val="716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2.7.</w:t>
            </w: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ascii="Times New Roman" w:hAnsi="Times New Roman"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  <w14:ligatures w14:val="none"/>
              </w:rPr>
            </w:pP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  <w14:ligatures w14:val="none"/>
              </w:rPr>
              <w:t xml:space="preserve">30</w:t>
            </w:r>
            <w:r>
              <w:rPr>
                <w:rFonts w:ascii="Times New Roman" w:hAnsi="Times New Roman"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ascii="Times New Roman" w:hAnsi="Times New Roman"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  <w14:ligatures w14:val="none"/>
              </w:rPr>
            </w:pP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  <w14:ligatures w14:val="none"/>
              </w:rPr>
              <w:t xml:space="preserve">80</w:t>
            </w:r>
            <w:r>
              <w:rPr>
                <w:rFonts w:ascii="Times New Roman" w:hAnsi="Times New Roman"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lang w:val="en-US"/>
              </w:rPr>
            </w:pPr>
            <w:r>
              <w:t xml:space="preserve">1*</w:t>
            </w:r>
            <w:r>
              <w:rPr>
                <w:lang w:val="en-US"/>
              </w:rPr>
              <w:t xml:space="preserve">/4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2.7.2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lang w:val="en-US"/>
              </w:rPr>
            </w:pPr>
            <w:r>
              <w:t xml:space="preserve">1*</w:t>
            </w:r>
            <w:r>
              <w:rPr>
                <w:lang w:val="en-US"/>
              </w:rPr>
              <w:t xml:space="preserve">/4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</w:pPr>
            <w:r>
              <w:t xml:space="preserve">НПУ</w:t>
            </w:r>
            <w:r/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6.7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6.8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6.9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</w:rPr>
              <w:t xml:space="preserve">6</w:t>
            </w:r>
            <w:r>
              <w:rPr>
                <w:color w:val="auto"/>
              </w:rPr>
              <w:t xml:space="preserve">.</w:t>
            </w: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</w:rPr>
              <w:t xml:space="preserve">9</w:t>
            </w:r>
            <w:r>
              <w:rPr>
                <w:color w:val="auto"/>
              </w:rPr>
              <w:t xml:space="preserve">.1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Условно разрешенные виды использования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</w:rPr>
              <w:t xml:space="preserve">4</w:t>
            </w:r>
            <w:r>
              <w:rPr>
                <w:color w:val="auto"/>
              </w:rPr>
              <w:t xml:space="preserve">.</w:t>
            </w:r>
            <w:r>
              <w:rPr>
                <w:rFonts w:eastAsia="Tahoma" w:cs="Liberation Serif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u w:val="none"/>
                <w:vertAlign w:val="baseline"/>
                <w:lang w:val="ru-RU" w:eastAsia="ru-RU" w:bidi="hi-IN"/>
              </w:rPr>
              <w:t xml:space="preserve">9</w:t>
            </w:r>
            <w:r>
              <w:rPr>
                <w:color w:val="auto"/>
              </w:rPr>
              <w:t xml:space="preserve">.1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716"/>
              <w:ind w:left="-283" w:right="-141" w:firstLine="283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1282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651"/>
              <w:ind w:left="142" w:right="137" w:firstLine="0"/>
              <w:jc w:val="both"/>
              <w:spacing w:before="0" w:after="0"/>
              <w:widowControl w:val="o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zh-CN" w:bidi="ar-SA"/>
              </w:rPr>
              <w:t xml:space="preserve">* 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</w:t>
              <w:br/>
              <w:t xml:space="preserve">находится выше средней планировочной отметки земли не менее чем на 2 метра.»</w:t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651"/>
        <w:ind w:left="-283" w:right="-141" w:firstLine="283"/>
        <w:spacing w:before="0" w:after="200"/>
      </w:pPr>
      <w:r/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030" w:right="850" w:bottom="822" w:left="1701" w:header="425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651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2">
    <w:name w:val="Heading 1"/>
    <w:basedOn w:val="651"/>
    <w:next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2">
    <w:name w:val="Heading 2 Char"/>
    <w:uiPriority w:val="9"/>
    <w:qFormat/>
    <w:rPr>
      <w:rFonts w:ascii="Arial" w:hAnsi="Arial" w:eastAsia="Arial" w:cs="Arial"/>
      <w:sz w:val="34"/>
    </w:rPr>
  </w:style>
  <w:style w:type="character" w:styleId="66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0">
    <w:name w:val="Title Char"/>
    <w:uiPriority w:val="10"/>
    <w:qFormat/>
    <w:rPr>
      <w:sz w:val="48"/>
      <w:szCs w:val="48"/>
    </w:rPr>
  </w:style>
  <w:style w:type="character" w:styleId="671">
    <w:name w:val="Subtitle Char"/>
    <w:uiPriority w:val="11"/>
    <w:qFormat/>
    <w:rPr>
      <w:sz w:val="24"/>
      <w:szCs w:val="24"/>
    </w:rPr>
  </w:style>
  <w:style w:type="character" w:styleId="672">
    <w:name w:val="Quote Char"/>
    <w:uiPriority w:val="29"/>
    <w:qFormat/>
    <w:rPr>
      <w:i/>
    </w:rPr>
  </w:style>
  <w:style w:type="character" w:styleId="673">
    <w:name w:val="Intense Quote Char"/>
    <w:uiPriority w:val="30"/>
    <w:qFormat/>
    <w:rPr>
      <w:i/>
    </w:rPr>
  </w:style>
  <w:style w:type="character" w:styleId="674">
    <w:name w:val="Header Char"/>
    <w:uiPriority w:val="99"/>
    <w:qFormat/>
  </w:style>
  <w:style w:type="character" w:styleId="675">
    <w:name w:val="Footer Char"/>
    <w:uiPriority w:val="99"/>
    <w:qFormat/>
  </w:style>
  <w:style w:type="character" w:styleId="676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677">
    <w:name w:val="Интернет-ссылка (user)"/>
    <w:uiPriority w:val="99"/>
    <w:unhideWhenUsed/>
    <w:qFormat/>
    <w:rPr>
      <w:color w:val="0000ff" w:themeColor="hyperlink"/>
      <w:u w:val="single"/>
    </w:rPr>
  </w:style>
  <w:style w:type="character" w:styleId="678">
    <w:name w:val="Footnote Text Char"/>
    <w:uiPriority w:val="99"/>
    <w:qFormat/>
    <w:rPr>
      <w:sz w:val="18"/>
    </w:rPr>
  </w:style>
  <w:style w:type="character" w:styleId="679">
    <w:name w:val="Привязка сноски (user)"/>
    <w:qFormat/>
    <w:rPr>
      <w:vertAlign w:val="superscript"/>
    </w:rPr>
  </w:style>
  <w:style w:type="character" w:styleId="680">
    <w:name w:val="Footnote Characters"/>
    <w:uiPriority w:val="99"/>
    <w:unhideWhenUsed/>
    <w:qFormat/>
    <w:rPr>
      <w:vertAlign w:val="superscript"/>
    </w:rPr>
  </w:style>
  <w:style w:type="character" w:styleId="681">
    <w:name w:val="Endnote Text Char"/>
    <w:uiPriority w:val="99"/>
    <w:qFormat/>
    <w:rPr>
      <w:sz w:val="20"/>
    </w:rPr>
  </w:style>
  <w:style w:type="character" w:styleId="682">
    <w:name w:val="Привязка концевой сноски (user)"/>
    <w:qFormat/>
    <w:rPr>
      <w:vertAlign w:val="superscript"/>
    </w:rPr>
  </w:style>
  <w:style w:type="character" w:styleId="683">
    <w:name w:val="Endnote Characters"/>
    <w:uiPriority w:val="99"/>
    <w:semiHidden/>
    <w:unhideWhenUsed/>
    <w:qFormat/>
    <w:rPr>
      <w:vertAlign w:val="superscript"/>
    </w:rPr>
  </w:style>
  <w:style w:type="character" w:styleId="684" w:default="1">
    <w:name w:val="Default Paragraph Font"/>
    <w:uiPriority w:val="1"/>
    <w:semiHidden/>
    <w:unhideWhenUsed/>
    <w:qFormat/>
  </w:style>
  <w:style w:type="paragraph" w:styleId="685">
    <w:name w:val="Заголовок"/>
    <w:basedOn w:val="651"/>
    <w:next w:val="68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86" w:customStyle="1">
    <w:name w:val="Body Text"/>
    <w:pPr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687">
    <w:name w:val="List"/>
    <w:basedOn w:val="686"/>
    <w:rPr>
      <w:rFonts w:cs="Arial"/>
    </w:rPr>
  </w:style>
  <w:style w:type="paragraph" w:styleId="688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9">
    <w:name w:val="Указатель"/>
    <w:basedOn w:val="651"/>
    <w:qFormat/>
    <w:pPr>
      <w:suppressLineNumbers/>
    </w:pPr>
    <w:rPr>
      <w:rFonts w:cs="Arial"/>
    </w:rPr>
  </w:style>
  <w:style w:type="paragraph" w:styleId="690">
    <w:name w:val="Заголовок (user)"/>
    <w:basedOn w:val="651"/>
    <w:next w:val="68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91">
    <w:name w:val="Указатель (user)"/>
    <w:basedOn w:val="651"/>
    <w:qFormat/>
    <w:pPr>
      <w:suppressLineNumbers/>
    </w:pPr>
    <w:rPr>
      <w:rFonts w:cs="Arial"/>
    </w:rPr>
  </w:style>
  <w:style w:type="paragraph" w:styleId="692">
    <w:name w:val="Title"/>
    <w:basedOn w:val="651"/>
    <w:next w:val="65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3">
    <w:name w:val="Subtitle"/>
    <w:basedOn w:val="651"/>
    <w:next w:val="651"/>
    <w:uiPriority w:val="11"/>
    <w:qFormat/>
    <w:pPr>
      <w:spacing w:before="200" w:after="200"/>
    </w:pPr>
    <w:rPr>
      <w:sz w:val="24"/>
      <w:szCs w:val="24"/>
    </w:rPr>
  </w:style>
  <w:style w:type="paragraph" w:styleId="694">
    <w:name w:val="Quote"/>
    <w:basedOn w:val="651"/>
    <w:next w:val="651"/>
    <w:uiPriority w:val="29"/>
    <w:qFormat/>
    <w:pPr>
      <w:ind w:left="720" w:right="720" w:firstLine="0"/>
    </w:pPr>
    <w:rPr>
      <w:i/>
    </w:rPr>
  </w:style>
  <w:style w:type="paragraph" w:styleId="695">
    <w:name w:val="Intense Quote"/>
    <w:basedOn w:val="651"/>
    <w:next w:val="651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6">
    <w:name w:val="Верхний и нижний колонтитулы"/>
    <w:basedOn w:val="651"/>
    <w:qFormat/>
  </w:style>
  <w:style w:type="paragraph" w:styleId="697">
    <w:name w:val="Header and Footer"/>
    <w:basedOn w:val="651"/>
    <w:qFormat/>
  </w:style>
  <w:style w:type="paragraph" w:styleId="698">
    <w:name w:val="Header"/>
    <w:basedOn w:val="65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99">
    <w:name w:val="Footer"/>
    <w:basedOn w:val="65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0">
    <w:name w:val="footnote text"/>
    <w:basedOn w:val="65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1">
    <w:name w:val="endnote text"/>
    <w:basedOn w:val="65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2">
    <w:name w:val="toc 1"/>
    <w:basedOn w:val="651"/>
    <w:next w:val="651"/>
    <w:uiPriority w:val="39"/>
    <w:unhideWhenUsed/>
    <w:pPr>
      <w:ind w:left="0" w:right="0" w:firstLine="0"/>
      <w:spacing w:before="0" w:after="57"/>
    </w:pPr>
  </w:style>
  <w:style w:type="paragraph" w:styleId="703">
    <w:name w:val="toc 2"/>
    <w:basedOn w:val="651"/>
    <w:next w:val="651"/>
    <w:uiPriority w:val="39"/>
    <w:unhideWhenUsed/>
    <w:pPr>
      <w:ind w:left="283" w:right="0" w:firstLine="0"/>
      <w:spacing w:before="0" w:after="57"/>
    </w:pPr>
  </w:style>
  <w:style w:type="paragraph" w:styleId="704">
    <w:name w:val="toc 3"/>
    <w:basedOn w:val="651"/>
    <w:next w:val="651"/>
    <w:uiPriority w:val="39"/>
    <w:unhideWhenUsed/>
    <w:pPr>
      <w:ind w:left="567" w:right="0" w:firstLine="0"/>
      <w:spacing w:before="0" w:after="57"/>
    </w:pPr>
  </w:style>
  <w:style w:type="paragraph" w:styleId="705">
    <w:name w:val="toc 4"/>
    <w:basedOn w:val="651"/>
    <w:next w:val="651"/>
    <w:uiPriority w:val="39"/>
    <w:unhideWhenUsed/>
    <w:pPr>
      <w:ind w:left="850" w:right="0" w:firstLine="0"/>
      <w:spacing w:before="0" w:after="57"/>
    </w:pPr>
  </w:style>
  <w:style w:type="paragraph" w:styleId="706">
    <w:name w:val="toc 5"/>
    <w:basedOn w:val="651"/>
    <w:next w:val="651"/>
    <w:uiPriority w:val="39"/>
    <w:unhideWhenUsed/>
    <w:pPr>
      <w:ind w:left="1134" w:right="0" w:firstLine="0"/>
      <w:spacing w:before="0" w:after="57"/>
    </w:pPr>
  </w:style>
  <w:style w:type="paragraph" w:styleId="707">
    <w:name w:val="toc 6"/>
    <w:basedOn w:val="651"/>
    <w:next w:val="651"/>
    <w:uiPriority w:val="39"/>
    <w:unhideWhenUsed/>
    <w:pPr>
      <w:ind w:left="1417" w:right="0" w:firstLine="0"/>
      <w:spacing w:before="0" w:after="57"/>
    </w:pPr>
  </w:style>
  <w:style w:type="paragraph" w:styleId="708">
    <w:name w:val="toc 7"/>
    <w:basedOn w:val="651"/>
    <w:next w:val="651"/>
    <w:uiPriority w:val="39"/>
    <w:unhideWhenUsed/>
    <w:pPr>
      <w:ind w:left="1701" w:right="0" w:firstLine="0"/>
      <w:spacing w:before="0" w:after="57"/>
    </w:pPr>
  </w:style>
  <w:style w:type="paragraph" w:styleId="709">
    <w:name w:val="toc 8"/>
    <w:basedOn w:val="651"/>
    <w:next w:val="651"/>
    <w:uiPriority w:val="39"/>
    <w:unhideWhenUsed/>
    <w:pPr>
      <w:ind w:left="1984" w:right="0" w:firstLine="0"/>
      <w:spacing w:before="0" w:after="57"/>
    </w:pPr>
  </w:style>
  <w:style w:type="paragraph" w:styleId="710">
    <w:name w:val="toc 9"/>
    <w:basedOn w:val="651"/>
    <w:next w:val="651"/>
    <w:uiPriority w:val="39"/>
    <w:unhideWhenUsed/>
    <w:pPr>
      <w:ind w:left="2268" w:right="0" w:firstLine="0"/>
      <w:spacing w:before="0" w:after="57"/>
    </w:pPr>
  </w:style>
  <w:style w:type="paragraph" w:styleId="711">
    <w:name w:val="index heading"/>
    <w:basedOn w:val="685"/>
  </w:style>
  <w:style w:type="paragraph" w:styleId="71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3">
    <w:name w:val="table of figures"/>
    <w:basedOn w:val="651"/>
    <w:next w:val="651"/>
    <w:uiPriority w:val="99"/>
    <w:unhideWhenUsed/>
    <w:qFormat/>
    <w:pPr>
      <w:spacing w:before="0" w:after="0" w:afterAutospacing="0"/>
    </w:pPr>
  </w:style>
  <w:style w:type="paragraph" w:styleId="714">
    <w:name w:val="No Spacing"/>
    <w:basedOn w:val="651"/>
    <w:uiPriority w:val="1"/>
    <w:qFormat/>
    <w:pPr>
      <w:spacing w:before="0" w:after="0" w:line="240" w:lineRule="auto"/>
    </w:pPr>
  </w:style>
  <w:style w:type="paragraph" w:styleId="715">
    <w:name w:val="List Paragraph"/>
    <w:basedOn w:val="651"/>
    <w:uiPriority w:val="34"/>
    <w:qFormat/>
    <w:pPr>
      <w:contextualSpacing/>
      <w:ind w:left="720" w:firstLine="0"/>
      <w:spacing w:before="0" w:after="200"/>
    </w:pPr>
  </w:style>
  <w:style w:type="paragraph" w:styleId="716" w:customStyle="1">
    <w:name w:val="Содержимое таблицы (user)"/>
    <w:qFormat/>
    <w:pPr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lang w:val="ru-RU" w:eastAsia="ru-RU" w:bidi="hi-IN"/>
      <w14:ligatures w14:val="none"/>
    </w:rPr>
  </w:style>
  <w:style w:type="paragraph" w:styleId="717" w:customStyle="1">
    <w:name w:val="Обычная таблица1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ar-SA" w:bidi="hi-IN"/>
      <w14:ligatures w14:val="none"/>
    </w:rPr>
  </w:style>
  <w:style w:type="paragraph" w:styleId="718">
    <w:name w:val="Заголовок таблицы (user)"/>
    <w:basedOn w:val="716"/>
    <w:qFormat/>
    <w:pPr>
      <w:jc w:val="center"/>
      <w:suppressLineNumbers/>
    </w:pPr>
    <w:rPr>
      <w:b/>
      <w:bCs/>
    </w:rPr>
  </w:style>
  <w:style w:type="numbering" w:styleId="719" w:default="1">
    <w:name w:val="Без списка"/>
    <w:uiPriority w:val="99"/>
    <w:semiHidden/>
    <w:unhideWhenUsed/>
    <w:qFormat/>
  </w:style>
  <w:style w:type="table" w:styleId="720">
    <w:name w:val="Table Grid"/>
    <w:basedOn w:val="8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23">
    <w:name w:val="Plain Table 2"/>
    <w:basedOn w:val="8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2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2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2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2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6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76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6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76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6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6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6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basedOn w:val="8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3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div</cp:lastModifiedBy>
  <cp:revision>8</cp:revision>
  <dcterms:modified xsi:type="dcterms:W3CDTF">2025-09-08T14:09:04Z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