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firstLine="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 xml:space="preserve">12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сентября 2025 г. № 782-п</w:t>
      </w:r>
      <w:r>
        <w:rPr>
          <w:rFonts w:ascii="Times New Roman" w:hAnsi="Times New Roman" w:cs="Times New Roman"/>
        </w:rPr>
      </w:r>
    </w:p>
    <w:p>
      <w:pPr>
        <w:pStyle w:val="617"/>
        <w:numPr>
          <w:ilvl w:val="0"/>
          <w:numId w:val="0"/>
        </w:numPr>
        <w:ind w:left="-425" w:right="0" w:firstLine="425"/>
        <w:jc w:val="both"/>
        <w:spacing w:before="0" w:after="0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17"/>
        <w:numPr>
          <w:ilvl w:val="0"/>
          <w:numId w:val="0"/>
        </w:numPr>
        <w:ind w:left="-425" w:right="-141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2.4. П-2 Зона объектов транспортной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auto"/>
          <w:lang w:eastAsia="zh-CN" w:bidi="ar-SA"/>
        </w:rPr>
        <w:t xml:space="preserve">и инженерной инфраструктуры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17"/>
        <w:numPr>
          <w:ilvl w:val="0"/>
          <w:numId w:val="0"/>
        </w:numPr>
        <w:ind w:left="-425" w:right="-141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17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Зона объектов транспортной и инженерной инфраструктуры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выделена </w:t>
        <w:br/>
        <w:t xml:space="preserve">для обеспечения правовых условий формирования объектов автомобильного транспорта, ули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чно-дорожной сети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населенных пунктов, а так же объектов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инженерной инфраструктуры.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617"/>
        <w:ind w:left="-425" w:right="-283" w:firstLine="425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«П-2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Зона объектов транспортной </w:t>
        <w:br/>
        <w:t xml:space="preserve">и инженерной инфраструктуры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1.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4"/>
        <w:ind w:left="0" w:right="-283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        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u w:val="none"/>
          <w:vertAlign w:val="baseline"/>
          <w:lang w:val="ru-RU" w:eastAsia="zh-CN" w:bidi="ar-SA"/>
        </w:rPr>
        <w:t xml:space="preserve">1</w:t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556"/>
        <w:gridCol w:w="5664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6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</w:p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vMerge w:val="restart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объекты дорожного сервиса;</w:t>
            </w:r>
            <w:r>
              <w:rPr>
                <w:rFonts w:eastAsia="NSimSun" w:cs="Times New Roman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</w:pPr>
            <w:r>
              <w:t xml:space="preserve">4.9.1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000000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предоставление коммунальных услуг;</w:t>
            </w:r>
            <w:r>
              <w:rPr>
                <w:color w:val="000000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3.1.1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000000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энергетика;</w:t>
            </w:r>
            <w:r>
              <w:rPr>
                <w:color w:val="000000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6.7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000000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связь;</w:t>
            </w:r>
            <w:r>
              <w:rPr>
                <w:color w:val="000000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6.8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vMerge w:val="continue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000000"/>
                <w:shd w:val="clear" w:color="auto" w:fill="auto"/>
              </w:rPr>
            </w:pPr>
            <w:r>
              <w:rPr>
                <w:color w:val="000000"/>
                <w:shd w:val="clear" w:color="auto" w:fill="auto"/>
              </w:rPr>
              <w:t xml:space="preserve">трубопроводный транспорт;</w:t>
            </w:r>
            <w:r>
              <w:rPr>
                <w:color w:val="000000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7.5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vMerge w:val="continue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земельные участки (территории) общего пользования</w:t>
            </w:r>
            <w:r>
              <w:rPr>
                <w:rFonts w:eastAsia="Times New Roman" w:cs="Times New Roman"/>
              </w:rPr>
              <w:t xml:space="preserve">.</w:t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556" w:type="dxa"/>
            <w:textDirection w:val="lrTb"/>
            <w:noWrap w:val="false"/>
          </w:tcPr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</w:p>
          <w:p>
            <w:pPr>
              <w:pStyle w:val="684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64" w:type="dxa"/>
            <w:textDirection w:val="lrTb"/>
            <w:noWrap w:val="false"/>
          </w:tcPr>
          <w:p>
            <w:pPr>
              <w:pStyle w:val="684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</w:p>
        </w:tc>
      </w:tr>
    </w:tbl>
    <w:p>
      <w:pPr>
        <w:pStyle w:val="617"/>
        <w:ind w:left="-425" w:right="-283" w:firstLine="425"/>
        <w:jc w:val="both"/>
        <w:spacing w:before="164" w:beforeAutospacing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«П-2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Зона объектов транспортной </w:t>
        <w:br/>
        <w:t xml:space="preserve">и инженерной инфраструктуры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2.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contextualSpacing/>
        <w:ind w:left="0" w:right="-283" w:firstLine="709"/>
        <w:jc w:val="right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2</w:t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1281"/>
        <w:gridCol w:w="1078"/>
        <w:gridCol w:w="1224"/>
        <w:gridCol w:w="1109"/>
        <w:gridCol w:w="1346"/>
        <w:gridCol w:w="1627"/>
        <w:gridCol w:w="1262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9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участка (м)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3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6" w:type="dxa"/>
            <w:vMerge w:val="restart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7" w:type="dxa"/>
            <w:vMerge w:val="restart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</w:p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Merge w:val="restart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</w:t>
              <w:br/>
              <w:t xml:space="preserve">в границах земельного участка</w:t>
            </w:r>
            <w:r>
              <w:rPr>
                <w:color w:val="auto"/>
              </w:rPr>
            </w:r>
          </w:p>
          <w:p>
            <w:pPr>
              <w:pStyle w:val="684"/>
              <w:ind w:left="-28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</w:pPr>
            <w:r>
              <w:t xml:space="preserve">4.9.1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bookmarkStart w:id="0" w:name="undefined"/>
            <w:r/>
            <w:bookmarkEnd w:id="0"/>
            <w:r/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4"/>
                <w:szCs w:val="22"/>
                <w:shd w:val="clear" w:color="auto" w:fill="auto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sz w:val="24"/>
                <w:szCs w:val="22"/>
                <w:shd w:val="clear" w:color="auto" w:fill="auto"/>
                <w:lang w:val="ru-RU" w:eastAsia="zh-CN" w:bidi="ar-SA"/>
              </w:rPr>
              <w:t xml:space="preserve">3.1.1</w:t>
            </w:r>
            <w:r>
              <w:rPr>
                <w:rFonts w:eastAsia="Calibri" w:cs="Calibri"/>
                <w:color w:val="auto"/>
                <w:sz w:val="24"/>
                <w:szCs w:val="22"/>
                <w:shd w:val="clear" w:color="auto" w:fill="auto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  <w:shd w:val="clear" w:color="auto" w:fill="auto"/>
              </w:rPr>
              <w:suppressLineNumbers/>
            </w:pPr>
            <w:r>
              <w:rPr>
                <w:rFonts w:eastAsia="Calibri" w:cs="Calibri"/>
                <w:color w:val="000000"/>
                <w:sz w:val="24"/>
                <w:szCs w:val="22"/>
                <w:shd w:val="clear" w:color="auto" w:fill="auto"/>
                <w:lang w:val="ru-RU" w:eastAsia="zh-CN" w:bidi="ar-SA"/>
              </w:rPr>
              <w:t xml:space="preserve">6.7</w:t>
            </w:r>
            <w:r>
              <w:rPr>
                <w:color w:val="auto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4"/>
                <w:szCs w:val="22"/>
                <w:shd w:val="clear" w:color="auto" w:fill="auto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sz w:val="24"/>
                <w:szCs w:val="22"/>
                <w:shd w:val="clear" w:color="auto" w:fill="auto"/>
                <w:lang w:val="ru-RU" w:eastAsia="zh-CN" w:bidi="ar-SA"/>
              </w:rPr>
              <w:t xml:space="preserve">6.8</w:t>
            </w:r>
            <w:r>
              <w:rPr>
                <w:rFonts w:eastAsia="Calibri" w:cs="Calibri"/>
                <w:color w:val="auto"/>
                <w:sz w:val="24"/>
                <w:szCs w:val="22"/>
                <w:shd w:val="clear" w:color="auto" w:fill="auto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 w:val="24"/>
                <w:szCs w:val="22"/>
                <w:shd w:val="clear" w:color="auto" w:fill="auto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sz w:val="24"/>
                <w:szCs w:val="22"/>
                <w:shd w:val="clear" w:color="auto" w:fill="auto"/>
                <w:lang w:val="ru-RU" w:eastAsia="zh-CN" w:bidi="ar-SA"/>
              </w:rPr>
              <w:t xml:space="preserve">7.5</w:t>
            </w:r>
            <w:r>
              <w:rPr>
                <w:rFonts w:eastAsia="Calibri" w:cs="Calibri"/>
                <w:color w:val="auto"/>
                <w:sz w:val="24"/>
                <w:szCs w:val="22"/>
                <w:shd w:val="clear" w:color="auto" w:fill="auto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suppressLineNumbers/>
            </w:pPr>
            <w:r>
              <w:rPr>
                <w:rFonts w:eastAsia="Calibri" w:cs="Calibri"/>
                <w:color w:val="000000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position w:val="0"/>
                <w:sz w:val="24"/>
                <w:szCs w:val="22"/>
                <w:shd w:val="clear" w:color="auto" w:fill="auto"/>
                <w:vertAlign w:val="baseline"/>
                <w:lang w:val="ru-RU"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4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2" w:type="dxa"/>
            <w:vAlign w:val="center"/>
            <w:textDirection w:val="lrTb"/>
            <w:noWrap w:val="false"/>
          </w:tcPr>
          <w:p>
            <w:pPr>
              <w:pStyle w:val="684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 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617"/>
        <w:ind w:firstLine="0"/>
        <w:spacing w:before="0" w:after="0" w:line="283" w:lineRule="atLeast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next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next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next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next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next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next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next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next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next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643">
    <w:name w:val="Hyperlink"/>
    <w:uiPriority w:val="99"/>
    <w:unhideWhenUsed/>
    <w:qFormat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Footnote Characters"/>
    <w:uiPriority w:val="99"/>
    <w:unhideWhenUsed/>
    <w:qFormat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Endnote Characters"/>
    <w:uiPriority w:val="99"/>
    <w:semiHidden/>
    <w:unhideWhenUsed/>
    <w:qFormat/>
    <w:rPr>
      <w:vertAlign w:val="superscript"/>
    </w:rPr>
  </w:style>
  <w:style w:type="character" w:styleId="652" w:default="1">
    <w:name w:val="Default Paragraph Font"/>
    <w:uiPriority w:val="1"/>
    <w:semiHidden/>
    <w:unhideWhenUsed/>
    <w:qFormat/>
  </w:style>
  <w:style w:type="paragraph" w:styleId="653">
    <w:name w:val="Заголовок"/>
    <w:basedOn w:val="617"/>
    <w:next w:val="65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54" w:customStyle="1">
    <w:name w:val="Body Text"/>
    <w:pPr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655">
    <w:name w:val="List"/>
    <w:basedOn w:val="654"/>
    <w:rPr>
      <w:rFonts w:cs="Arial"/>
    </w:rPr>
  </w:style>
  <w:style w:type="paragraph" w:styleId="65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7">
    <w:name w:val="Указатель"/>
    <w:basedOn w:val="617"/>
    <w:qFormat/>
    <w:pPr>
      <w:suppressLineNumbers/>
    </w:pPr>
    <w:rPr>
      <w:rFonts w:cs="Arial"/>
    </w:rPr>
  </w:style>
  <w:style w:type="paragraph" w:styleId="658">
    <w:name w:val="Заголовок (user)"/>
    <w:basedOn w:val="617"/>
    <w:next w:val="65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59">
    <w:name w:val="Указатель (user)"/>
    <w:basedOn w:val="617"/>
    <w:qFormat/>
    <w:pPr>
      <w:suppressLineNumbers/>
    </w:pPr>
    <w:rPr>
      <w:rFonts w:cs="Arial"/>
    </w:rPr>
  </w:style>
  <w:style w:type="paragraph" w:styleId="660">
    <w:name w:val="Title"/>
    <w:basedOn w:val="617"/>
    <w:next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1">
    <w:name w:val="Subtitle"/>
    <w:basedOn w:val="617"/>
    <w:next w:val="617"/>
    <w:uiPriority w:val="11"/>
    <w:qFormat/>
    <w:pPr>
      <w:spacing w:before="200" w:after="200"/>
    </w:pPr>
    <w:rPr>
      <w:sz w:val="24"/>
      <w:szCs w:val="24"/>
    </w:rPr>
  </w:style>
  <w:style w:type="paragraph" w:styleId="662">
    <w:name w:val="Quote"/>
    <w:basedOn w:val="617"/>
    <w:next w:val="617"/>
    <w:uiPriority w:val="29"/>
    <w:qFormat/>
    <w:pPr>
      <w:ind w:left="720" w:right="720" w:firstLine="0"/>
    </w:pPr>
    <w:rPr>
      <w:i/>
    </w:rPr>
  </w:style>
  <w:style w:type="paragraph" w:styleId="663">
    <w:name w:val="Intense Quote"/>
    <w:basedOn w:val="617"/>
    <w:next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4">
    <w:name w:val="Верхний и нижний колонтитулы"/>
    <w:basedOn w:val="617"/>
    <w:qFormat/>
  </w:style>
  <w:style w:type="paragraph" w:styleId="665">
    <w:name w:val="Header and Footer"/>
    <w:basedOn w:val="617"/>
    <w:qFormat/>
  </w:style>
  <w:style w:type="paragraph" w:styleId="666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7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0">
    <w:name w:val="toc 1"/>
    <w:basedOn w:val="617"/>
    <w:next w:val="617"/>
    <w:uiPriority w:val="39"/>
    <w:unhideWhenUsed/>
    <w:pPr>
      <w:ind w:left="0" w:right="0" w:firstLine="0"/>
      <w:spacing w:before="0" w:after="57"/>
    </w:pPr>
  </w:style>
  <w:style w:type="paragraph" w:styleId="671">
    <w:name w:val="toc 2"/>
    <w:basedOn w:val="617"/>
    <w:next w:val="617"/>
    <w:uiPriority w:val="39"/>
    <w:unhideWhenUsed/>
    <w:pPr>
      <w:ind w:left="283" w:right="0" w:firstLine="0"/>
      <w:spacing w:before="0" w:after="57"/>
    </w:pPr>
  </w:style>
  <w:style w:type="paragraph" w:styleId="672">
    <w:name w:val="toc 3"/>
    <w:basedOn w:val="617"/>
    <w:next w:val="617"/>
    <w:uiPriority w:val="39"/>
    <w:unhideWhenUsed/>
    <w:pPr>
      <w:ind w:left="567" w:right="0" w:firstLine="0"/>
      <w:spacing w:before="0" w:after="57"/>
    </w:pPr>
  </w:style>
  <w:style w:type="paragraph" w:styleId="673">
    <w:name w:val="toc 4"/>
    <w:basedOn w:val="617"/>
    <w:next w:val="617"/>
    <w:uiPriority w:val="39"/>
    <w:unhideWhenUsed/>
    <w:pPr>
      <w:ind w:left="850" w:right="0" w:firstLine="0"/>
      <w:spacing w:before="0" w:after="57"/>
    </w:pPr>
  </w:style>
  <w:style w:type="paragraph" w:styleId="674">
    <w:name w:val="toc 5"/>
    <w:basedOn w:val="617"/>
    <w:next w:val="617"/>
    <w:uiPriority w:val="39"/>
    <w:unhideWhenUsed/>
    <w:pPr>
      <w:ind w:left="1134" w:right="0" w:firstLine="0"/>
      <w:spacing w:before="0" w:after="57"/>
    </w:pPr>
  </w:style>
  <w:style w:type="paragraph" w:styleId="675">
    <w:name w:val="toc 6"/>
    <w:basedOn w:val="617"/>
    <w:next w:val="617"/>
    <w:uiPriority w:val="39"/>
    <w:unhideWhenUsed/>
    <w:pPr>
      <w:ind w:left="1417" w:right="0" w:firstLine="0"/>
      <w:spacing w:before="0" w:after="57"/>
    </w:pPr>
  </w:style>
  <w:style w:type="paragraph" w:styleId="676">
    <w:name w:val="toc 7"/>
    <w:basedOn w:val="617"/>
    <w:next w:val="617"/>
    <w:uiPriority w:val="39"/>
    <w:unhideWhenUsed/>
    <w:pPr>
      <w:ind w:left="1701" w:right="0" w:firstLine="0"/>
      <w:spacing w:before="0" w:after="57"/>
    </w:pPr>
  </w:style>
  <w:style w:type="paragraph" w:styleId="677">
    <w:name w:val="toc 8"/>
    <w:basedOn w:val="617"/>
    <w:next w:val="617"/>
    <w:uiPriority w:val="39"/>
    <w:unhideWhenUsed/>
    <w:pPr>
      <w:ind w:left="1984" w:right="0" w:firstLine="0"/>
      <w:spacing w:before="0" w:after="57"/>
    </w:pPr>
  </w:style>
  <w:style w:type="paragraph" w:styleId="678">
    <w:name w:val="toc 9"/>
    <w:basedOn w:val="617"/>
    <w:next w:val="617"/>
    <w:uiPriority w:val="39"/>
    <w:unhideWhenUsed/>
    <w:pPr>
      <w:ind w:left="2268" w:right="0" w:firstLine="0"/>
      <w:spacing w:before="0" w:after="57"/>
    </w:pPr>
  </w:style>
  <w:style w:type="paragraph" w:styleId="679">
    <w:name w:val="index heading"/>
    <w:basedOn w:val="653"/>
  </w:style>
  <w:style w:type="paragraph" w:styleId="680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81">
    <w:name w:val="table of figures"/>
    <w:basedOn w:val="617"/>
    <w:next w:val="617"/>
    <w:uiPriority w:val="99"/>
    <w:unhideWhenUsed/>
    <w:qFormat/>
    <w:pPr>
      <w:spacing w:before="0" w:after="0" w:afterAutospacing="0"/>
    </w:pPr>
  </w:style>
  <w:style w:type="paragraph" w:styleId="682">
    <w:name w:val="No Spacing"/>
    <w:basedOn w:val="617"/>
    <w:uiPriority w:val="1"/>
    <w:qFormat/>
    <w:pPr>
      <w:spacing w:before="0" w:after="0" w:line="240" w:lineRule="auto"/>
    </w:pPr>
  </w:style>
  <w:style w:type="paragraph" w:styleId="683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paragraph" w:styleId="684" w:customStyle="1">
    <w:name w:val="Содержимое таблицы (user)"/>
    <w:qFormat/>
    <w:pPr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lang w:val="ru-RU" w:eastAsia="ru-RU" w:bidi="hi-IN"/>
      <w14:ligatures w14:val="none"/>
    </w:rPr>
  </w:style>
  <w:style w:type="paragraph" w:styleId="685" w:customStyle="1">
    <w:name w:val="Обычная таблица1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ar-SA" w:bidi="hi-IN"/>
      <w14:ligatures w14:val="none"/>
    </w:rPr>
  </w:style>
  <w:style w:type="numbering" w:styleId="686" w:default="1">
    <w:name w:val="Без списка"/>
    <w:uiPriority w:val="99"/>
    <w:semiHidden/>
    <w:unhideWhenUsed/>
    <w:qFormat/>
  </w:style>
  <w:style w:type="table" w:styleId="687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1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1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90">
    <w:name w:val="Plain Table 2"/>
    <w:basedOn w:val="8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9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69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69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0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1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1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1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2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3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73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3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73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3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3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3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8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8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8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78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792">
    <w:name w:val="Lined - Accent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793">
    <w:name w:val="Lined - Accent 1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794">
    <w:name w:val="Lined - Accent 2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795">
    <w:name w:val="Lined - Accent 3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796">
    <w:name w:val="Lined - Accent 4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797">
    <w:name w:val="Lined - Accent 5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798">
    <w:name w:val="Lined - Accent 6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799">
    <w:name w:val="Bordered &amp; Lined - Accent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00">
    <w:name w:val="Bordered &amp; Lined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01">
    <w:name w:val="Bordered &amp; Lined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02">
    <w:name w:val="Bordered &amp; Lined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03">
    <w:name w:val="Bordered &amp; Lined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04">
    <w:name w:val="Bordered &amp; Lined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05">
    <w:name w:val="Bordered &amp; Lined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0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0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0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1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1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1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1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sek</cp:lastModifiedBy>
  <cp:revision>11</cp:revision>
  <dcterms:modified xsi:type="dcterms:W3CDTF">2025-09-15T13:53:17Z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