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83" w:before="0" w:after="0"/>
        <w:ind w:firstLine="6520" w:left="0" w:right="0"/>
        <w:rPr>
          <w:rFonts w:ascii="Times New Roman" w:hAnsi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  <w:t>Приложение № 2</w:t>
      </w:r>
    </w:p>
    <w:p>
      <w:pPr>
        <w:pStyle w:val="Normal"/>
        <w:spacing w:lineRule="atLeast" w:line="283" w:before="0" w:after="0"/>
        <w:ind w:firstLine="6520" w:left="0" w:right="0"/>
        <w:rPr>
          <w:rFonts w:ascii="Times New Roman" w:hAnsi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  <w:t>к постановлению главного управления</w:t>
      </w:r>
    </w:p>
    <w:p>
      <w:pPr>
        <w:pStyle w:val="Normal"/>
        <w:spacing w:lineRule="atLeast" w:line="283" w:before="0" w:after="0"/>
        <w:ind w:firstLine="6520" w:left="0" w:right="0"/>
        <w:rPr>
          <w:rFonts w:ascii="Times New Roman" w:hAnsi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  <w:t>архитектуры и градостроительства</w:t>
      </w:r>
    </w:p>
    <w:p>
      <w:pPr>
        <w:pStyle w:val="Normal"/>
        <w:spacing w:lineRule="atLeast" w:line="283" w:before="0" w:after="0"/>
        <w:ind w:firstLine="6520" w:left="0" w:right="0"/>
        <w:rPr>
          <w:rFonts w:ascii="Times New Roman" w:hAnsi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  <w:t>Рязанской области</w:t>
      </w:r>
    </w:p>
    <w:p>
      <w:pPr>
        <w:pStyle w:val="Normal"/>
        <w:spacing w:lineRule="atLeast" w:line="283" w:before="0" w:after="0"/>
        <w:ind w:firstLine="652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auto"/>
        </w:rPr>
        <w:t>от 08 сентября 2025 г. № 758-п</w:t>
      </w:r>
    </w:p>
    <w:p>
      <w:pPr>
        <w:pStyle w:val="Normal"/>
        <w:widowControl/>
        <w:spacing w:lineRule="atLeast" w:line="283" w:beforeAutospacing="0" w:before="0" w:afterAutospacing="0" w:after="0"/>
        <w:ind w:hanging="0" w:left="0" w:right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pacing w:before="0" w:after="0"/>
        <w:ind w:firstLine="540" w:left="0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zh-CN" w:bidi="ar-SA"/>
        </w:rPr>
        <w:t>«</w:t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zh-CN" w:bidi="ar-SA"/>
        </w:rPr>
        <w:t>2.1. ОД-1. Зона многофункциональная общественно-деловая</w:t>
      </w:r>
    </w:p>
    <w:p>
      <w:pPr>
        <w:pStyle w:val="Normal"/>
        <w:widowControl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auto"/>
          <w:sz w:val="28"/>
          <w:szCs w:val="28"/>
        </w:rPr>
      </w:r>
    </w:p>
    <w:p>
      <w:pPr>
        <w:pStyle w:val="Normal"/>
        <w:widowControl/>
        <w:suppressAutoHyphens w:val="true"/>
        <w:spacing w:lineRule="auto" w:line="240" w:before="0" w:after="0"/>
        <w:ind w:firstLine="539"/>
        <w:jc w:val="both"/>
        <w:rPr/>
      </w:pP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zh-CN" w:bidi="ar-SA"/>
        </w:rPr>
        <w:t xml:space="preserve">ОД-1. Зона многофункциональная общественно-деловая предназначена </w:t>
        <w:br/>
        <w:t>для размещения государственных и муниципальных учреждений, комплексных многофункциональных зон общественно-деловой активности, а также необходимых объектов инженерной и транспортной инфраструктуры.</w:t>
      </w:r>
    </w:p>
    <w:p>
      <w:pPr>
        <w:pStyle w:val="Normal"/>
        <w:widowControl/>
        <w:suppressAutoHyphens w:val="true"/>
        <w:spacing w:lineRule="auto" w:line="240" w:before="0" w:after="0"/>
        <w:ind w:firstLine="539"/>
        <w:jc w:val="both"/>
        <w:rPr/>
      </w:pP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zh-CN" w:bidi="ar-SA"/>
        </w:rPr>
        <w:t xml:space="preserve">Кроме того, указанная зона включает в себя территории для организации рыночной торговли, размещения торговых павильонов, киосков, временных зданий торгового назначения, ориентированных на удовлетворение потребностей населения в приобретении товаров и продуктов питания повседневного, периодического </w:t>
        <w:br/>
        <w:t>и эпизодического обслуживания.</w:t>
      </w:r>
    </w:p>
    <w:p>
      <w:pPr>
        <w:pStyle w:val="Normal"/>
        <w:widowControl/>
        <w:suppressAutoHyphens w:val="true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Виды разрешенного использования земельных участков и объектов капитального строительства в зоне «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zh-CN" w:bidi="ar-SA"/>
        </w:rPr>
        <w:t>ОД-1. Зона многофункциональная общественно-деловая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» представлены в таблице 3</w:t>
      </w:r>
      <w:r>
        <w:rPr>
          <w:rFonts w:eastAsia="NSimSun" w:cs="Times New Roman"/>
          <w:color w:val="auto"/>
          <w:sz w:val="28"/>
          <w:szCs w:val="28"/>
          <w:lang w:eastAsia="zh-CN" w:bidi="ar-SA"/>
        </w:rPr>
        <w:t>.</w:t>
      </w:r>
    </w:p>
    <w:p>
      <w:pPr>
        <w:pStyle w:val="BodyText"/>
        <w:suppressAutoHyphens w:val="true"/>
        <w:spacing w:beforeAutospacing="0" w:before="153" w:after="0"/>
        <w:jc w:val="right"/>
        <w:rPr/>
      </w:pPr>
      <w:r>
        <w:rPr>
          <w:rFonts w:eastAsia="NSimSun" w:cs="Times New Roman"/>
          <w:color w:val="auto"/>
          <w:szCs w:val="28"/>
          <w:lang w:eastAsia="zh-CN" w:bidi="ar-SA"/>
        </w:rPr>
        <w:t>Таблица 3</w:t>
      </w:r>
    </w:p>
    <w:tbl>
      <w:tblPr>
        <w:tblW w:w="10205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391"/>
        <w:gridCol w:w="5830"/>
        <w:gridCol w:w="1984"/>
      </w:tblGrid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Вид разрешенного использования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Наименование вида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разрешенного использования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Код вида разрешенного использования</w:t>
            </w:r>
          </w:p>
        </w:tc>
      </w:tr>
      <w:tr>
        <w:trPr/>
        <w:tc>
          <w:tcPr>
            <w:tcW w:w="239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3.1.1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3.1.2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бытовое обслуживание;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3.3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объекты культурно-досуговой деятельности;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3.6.1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государственное</w:t>
            </w:r>
            <w:r>
              <w:rPr>
                <w:color w:val="auto"/>
              </w:rPr>
              <w:t xml:space="preserve"> управление;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3.8.1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деловое управление;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4.1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rFonts w:eastAsia="Times New Roman"/>
                <w:color w:val="auto"/>
              </w:rPr>
              <w:t>объекты торговли (торговые центры, торгово -развлекательные центры (комплексы);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4.2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рынки;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4.3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магазины;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4.4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банковская и страховая деятельность;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4.5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общественное питание;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4.6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гостиничное обслуживание;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4.7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развлекательные мероприятия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4.8.1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служебные гаражи;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4.9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стоянка транспортных средств;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4.9.2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выставочно-ярмарочная деятельность;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4.10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обеспечение занятий спортом в помещениях;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5.1.2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площадки для занятий спортом;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5.1.</w:t>
            </w: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обслуживание перевозок пассажиров;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57" w:right="0"/>
              <w:jc w:val="center"/>
              <w:rPr/>
            </w:pPr>
            <w:r>
              <w:rPr>
                <w:color w:val="auto"/>
              </w:rPr>
              <w:t>7.2.2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обеспечение внутреннего правопорядка;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8.3</w:t>
            </w:r>
          </w:p>
        </w:tc>
      </w:tr>
      <w:tr>
        <w:trPr/>
        <w:tc>
          <w:tcPr>
            <w:tcW w:w="239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rFonts w:cs="Times New Roman"/>
                <w:color w:val="auto"/>
                <w:lang w:bidi="ar-SA"/>
              </w:rPr>
              <w:t>земельные участки (территории) общего пользования.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12.0</w:t>
            </w:r>
          </w:p>
        </w:tc>
      </w:tr>
      <w:tr>
        <w:trPr>
          <w:trHeight w:val="123" w:hRule="atLeast"/>
        </w:trPr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lineRule="exact" w:line="255" w:before="0" w:after="0"/>
              <w:rPr/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не подлежат установлению.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114" w:hRule="atLeast"/>
        </w:trPr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Вспомогательные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rPr/>
            </w:pPr>
            <w:r>
              <w:rPr/>
              <w:t>не подлежат установлению.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BodyText"/>
        <w:suppressAutoHyphens w:val="true"/>
        <w:jc w:val="center"/>
        <w:rPr/>
      </w:pPr>
      <w:r>
        <w:rPr>
          <w:shd w:fill="auto" w:val="clear"/>
        </w:rPr>
        <w:fldChar w:fldCharType="begin"/>
      </w:r>
      <w:r>
        <w:rPr>
          <w:shd w:fill="auto" w:val="clear"/>
        </w:rPr>
        <w:instrText xml:space="preserve"> PAGE </w:instrText>
      </w:r>
      <w:r>
        <w:rPr>
          <w:shd w:fill="auto" w:val="clear"/>
        </w:rPr>
        <w:fldChar w:fldCharType="separate"/>
      </w:r>
      <w:r>
        <w:rPr>
          <w:shd w:fill="auto" w:val="clear"/>
        </w:rPr>
        <w:t>2</w:t>
      </w:r>
      <w:r>
        <w:rPr>
          <w:shd w:fill="auto" w:val="clear"/>
        </w:rPr>
        <w:fldChar w:fldCharType="end"/>
      </w:r>
    </w:p>
    <w:p>
      <w:pPr>
        <w:pStyle w:val="Normal"/>
        <w:widowControl/>
        <w:suppressAutoHyphens w:val="true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eastAsia="zh-CN" w:bidi="ar-SA"/>
        </w:rPr>
        <w:t>ОД-1. Зона многофункциональная общественно-деловая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zh-CN" w:bidi="ar-SA"/>
        </w:rPr>
        <w:t>» представлены в таблице в таблице 4.</w:t>
      </w:r>
    </w:p>
    <w:p>
      <w:pPr>
        <w:pStyle w:val="BodyText"/>
        <w:suppressAutoHyphens w:val="true"/>
        <w:jc w:val="right"/>
        <w:rPr/>
      </w:pPr>
      <w:r>
        <w:rPr>
          <w:rFonts w:eastAsia="NSimSun" w:cs="Times New Roman"/>
          <w:color w:val="auto"/>
          <w:szCs w:val="28"/>
          <w:lang w:eastAsia="zh-CN" w:bidi="ar-SA"/>
        </w:rPr>
        <w:t>Таблица 4</w:t>
      </w:r>
    </w:p>
    <w:tbl>
      <w:tblPr>
        <w:tblW w:w="10200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01"/>
        <w:gridCol w:w="1081"/>
        <w:gridCol w:w="1083"/>
        <w:gridCol w:w="1226"/>
        <w:gridCol w:w="1098"/>
        <w:gridCol w:w="1352"/>
        <w:gridCol w:w="1788"/>
        <w:gridCol w:w="1669"/>
      </w:tblGrid>
      <w:tr>
        <w:trPr>
          <w:tblHeader w:val="true"/>
          <w:trHeight w:val="791" w:hRule="atLeast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Код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вида раз-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решен-ного исполь-зования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>земельного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участка (м)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Площадь земельного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>кв.м</w:t>
            </w:r>
            <w:r>
              <w:rPr>
                <w:color w:val="auto"/>
              </w:rPr>
              <w:t>)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Минималь-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ный отступ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от границ земельного участка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(м)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Предельное количество этажей/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предельная высота зданий, строений, сооружений (м)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Максимальный процент застройки в границах земельного участка</w:t>
            </w:r>
          </w:p>
          <w:p>
            <w:pPr>
              <w:pStyle w:val="user4"/>
              <w:widowControl w:val="false"/>
              <w:suppressAutoHyphens w:val="true"/>
              <w:spacing w:before="0" w:after="0"/>
              <w:ind w:hanging="0" w:left="-28" w:right="0"/>
              <w:jc w:val="center"/>
              <w:rPr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>
        <w:trPr>
          <w:tblHeader w:val="true"/>
          <w:trHeight w:val="1153" w:hRule="exact"/>
        </w:trPr>
        <w:tc>
          <w:tcPr>
            <w:tcW w:w="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Мин.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Макс.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Мин.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color w:val="auto"/>
              </w:rPr>
              <w:t>Макс.</w:t>
            </w:r>
          </w:p>
        </w:tc>
        <w:tc>
          <w:tcPr>
            <w:tcW w:w="135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283" w:hRule="exact"/>
        </w:trPr>
        <w:tc>
          <w:tcPr>
            <w:tcW w:w="1019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>
        <w:trPr>
          <w:trHeight w:val="429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3.1.1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3.1.2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rPr/>
              <w:t>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3.3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rPr/>
              <w:t>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3.6.1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rPr/>
              <w:t>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3.8.1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rPr/>
              <w:t>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4.1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rPr/>
              <w:t>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4.2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rPr/>
              <w:t>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4.3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rPr/>
              <w:t>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4.4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rPr/>
              <w:t>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4.5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rPr/>
              <w:t>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4.6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rPr/>
              <w:t>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4.7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rPr/>
              <w:t>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4.8.1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rPr/>
              <w:t>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4.9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rPr/>
              <w:t>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4.9.2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4.10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rPr/>
              <w:t>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5.1.2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t>5.1.3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/>
              <w:t>НПУ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57" w:right="0"/>
              <w:jc w:val="center"/>
              <w:rPr/>
            </w:pPr>
            <w:r>
              <w:rPr>
                <w:color w:val="auto"/>
              </w:rPr>
              <w:t>7.2.2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8.3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rPr/>
              <w:t>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>
        <w:trPr>
          <w:trHeight w:val="283" w:hRule="exact"/>
        </w:trPr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color w:val="auto"/>
              </w:rPr>
              <w:t>12.0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ser4"/>
              <w:widowControl w:val="false"/>
              <w:suppressAutoHyphens w:val="true"/>
              <w:spacing w:before="0" w:after="0"/>
              <w:ind w:hanging="0" w:left="0" w:right="0"/>
              <w:jc w:val="center"/>
              <w:rPr/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         </w:t>
            </w:r>
            <w:r>
              <w:rPr>
                <w:rFonts w:eastAsia="Calibri" w:cs="Calibri"/>
                <w:szCs w:val="22"/>
                <w:lang w:eastAsia="zh-CN" w:bidi="ar-SA"/>
              </w:rPr>
              <w:t>НПУ      »</w:t>
            </w:r>
          </w:p>
        </w:tc>
      </w:tr>
    </w:tbl>
    <w:p>
      <w:pPr>
        <w:pStyle w:val="Normal"/>
        <w:suppressAutoHyphens w:val="true"/>
        <w:spacing w:lineRule="atLeast" w:line="283" w:before="0" w:after="0"/>
        <w:ind w:firstLine="5954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suppressAutoHyphens w:val="true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6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35"/>
    <w:qFormat/>
    <w:rPr>
      <w:b/>
      <w:bCs/>
      <w:color w:themeColor="accent1" w:val="4F81BD"/>
      <w:sz w:val="18"/>
      <w:szCs w:val="18"/>
    </w:rPr>
  </w:style>
  <w:style w:type="character" w:styleId="-user">
    <w:name w:val="Интернет-ссылка (user)"/>
    <w:uiPriority w:val="99"/>
    <w:unhideWhenUsed/>
    <w:qFormat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user">
    <w:name w:val="Привязка сноски (user)"/>
    <w:qFormat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user1">
    <w:name w:val="Привязка концевой сноски (user)"/>
    <w:qFormat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 w:customStyle="1">
    <w:name w:val="Body Text"/>
    <w:pPr>
      <w:keepNext w:val="false"/>
      <w:keepLines w:val="false"/>
      <w:pageBreakBefore w:val="false"/>
      <w:widowControl w:val="false"/>
      <w:shd w:val="nil"/>
      <w:bidi w:val="0"/>
      <w:spacing w:lineRule="auto" w:line="240" w:beforeAutospacing="0" w:before="0" w:afterAutospacing="0" w:after="0"/>
      <w:ind w:firstLine="709" w:left="0" w:right="0"/>
      <w:jc w:val="left"/>
    </w:pPr>
    <w:rPr>
      <w:rFonts w:ascii="Times New Roman" w:hAnsi="Times New Roman" w:eastAsia="Tahoma" w:cs="Liberation Serif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8"/>
      <w:sz w:val="28"/>
      <w:szCs w:val="24"/>
      <w:u w:val="none"/>
      <w:vertAlign w:val="baseline"/>
      <w:lang w:val="ru-RU" w:eastAsia="ru-RU" w:bidi="hi-IN"/>
      <w14:ligatures w14:val="none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Arial"/>
    </w:rPr>
  </w:style>
  <w:style w:type="paragraph" w:styleId="user2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3">
    <w:name w:val="Указатель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hanging="0" w:left="720" w:right="720"/>
    </w:pPr>
    <w:rPr>
      <w:i/>
    </w:rPr>
  </w:style>
  <w:style w:type="paragraph" w:styleId="Style9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hanging="0" w:left="720"/>
      <w:contextualSpacing/>
    </w:pPr>
    <w:rPr/>
  </w:style>
  <w:style w:type="paragraph" w:styleId="user4" w:customStyle="1">
    <w:name w:val="Содержимое таблицы (user)"/>
    <w:qFormat/>
    <w:pPr>
      <w:keepNext w:val="false"/>
      <w:keepLines w:val="false"/>
      <w:pageBreakBefore w:val="false"/>
      <w:widowControl w:val="false"/>
      <w:suppressLineNumbers/>
      <w:shd w:val="nil"/>
      <w:bidi w:val="0"/>
      <w:spacing w:lineRule="auto" w:line="240" w:beforeAutospacing="0" w:before="100" w:afterAutospacing="0" w:after="100"/>
      <w:ind w:hanging="0" w:left="28" w:right="0"/>
      <w:jc w:val="left"/>
    </w:pPr>
    <w:rPr>
      <w:rFonts w:ascii="Times New Roman" w:hAnsi="Times New Roman" w:eastAsia="Tahoma" w:cs="Liberation Serif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hi-IN"/>
      <w14:ligatures w14:val="none"/>
    </w:rPr>
  </w:style>
  <w:style w:type="numbering" w:styleId="Style10" w:default="1">
    <w:name w:val="Без списка"/>
    <w:uiPriority w:val="99"/>
    <w:semiHidden/>
    <w:unhideWhenUsed/>
    <w:qFormat/>
  </w:style>
  <w:style w:type="table" w:styleId="680">
    <w:name w:val="Table Grid"/>
    <w:basedOn w:val="80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06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06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83">
    <w:name w:val="Plain Table 2"/>
    <w:basedOn w:val="8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84">
    <w:name w:val="Plain Table 3"/>
    <w:basedOn w:val="8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685">
    <w:name w:val="Plain Table 4"/>
    <w:basedOn w:val="8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6">
    <w:name w:val="Plain Table 5"/>
    <w:basedOn w:val="8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1 Light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8">
    <w:name w:val="Grid Table 1 Light - Accent 1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9">
    <w:name w:val="Grid Table 1 Light - Accent 2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0">
    <w:name w:val="Grid Table 1 Light - Accent 3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1">
    <w:name w:val="Grid Table 1 Light - Accent 4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2">
    <w:name w:val="Grid Table 1 Light - Accent 5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3">
    <w:name w:val="Grid Table 1 Light - Accent 6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94">
    <w:name w:val="Grid Table 2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2 - Accent 1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2 - Accent 2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2 - Accent 3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8">
    <w:name w:val="Grid Table 2 - Accent 4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2 - Accent 5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2 - Accent 6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3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3 - Accent 1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3 - Accent 2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3 - Accent 3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3 - Accent 4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3 - Accent 5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 - Accent 6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4"/>
    <w:basedOn w:val="8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10">
    <w:name w:val="Grid Table 4 - Accent 2"/>
    <w:basedOn w:val="8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11">
    <w:name w:val="Grid Table 4 - Accent 3"/>
    <w:basedOn w:val="8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12">
    <w:name w:val="Grid Table 4 - Accent 4"/>
    <w:basedOn w:val="8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13">
    <w:name w:val="Grid Table 4 - Accent 5"/>
    <w:basedOn w:val="8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16">
    <w:name w:val="Grid Table 5 Dark- Accent 1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17">
    <w:name w:val="Grid Table 5 Dark - Accent 2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18">
    <w:name w:val="Grid Table 5 Dark - Accent 3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19">
    <w:name w:val="Grid Table 5 Dark- Accent 4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20">
    <w:name w:val="Grid Table 5 Dark - Accent 5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21">
    <w:name w:val="Grid Table 5 Dark - Accent 6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22">
    <w:name w:val="Grid Table 6 Colorful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23">
    <w:name w:val="Grid Table 6 Colorful - Accent 1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24">
    <w:name w:val="Grid Table 6 Colorful - Accent 2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25">
    <w:name w:val="Grid Table 6 Colorful - Accent 3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26">
    <w:name w:val="Grid Table 6 Colorful - Accent 4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27">
    <w:name w:val="Grid Table 6 Colorful - Accent 5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28">
    <w:name w:val="Grid Table 6 Colorful - Accent 6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29">
    <w:name w:val="Grid Table 7 Colorful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0">
    <w:name w:val="Grid Table 7 Colorful - Accent 1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1">
    <w:name w:val="Grid Table 7 Colorful - Accent 2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2">
    <w:name w:val="Grid Table 7 Colorful - Accent 3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3">
    <w:name w:val="Grid Table 7 Colorful - Accent 4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4">
    <w:name w:val="Grid Table 7 Colorful - Accent 5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5">
    <w:name w:val="Grid Table 7 Colorful - Accent 6"/>
    <w:basedOn w:val="8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6">
    <w:name w:val="List Table 1 Light"/>
    <w:basedOn w:val="8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50">
    <w:name w:val="List Table 3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1">
    <w:name w:val="List Table 3 - Accent 1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2">
    <w:name w:val="List Table 3 - Accent 2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3">
    <w:name w:val="List Table 3 - Accent 3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4">
    <w:name w:val="List Table 3 - Accent 4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5">
    <w:name w:val="List Table 3 - Accent 5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6">
    <w:name w:val="List Table 3 - Accent 6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7">
    <w:name w:val="List Table 4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8">
    <w:name w:val="List Table 4 - Accent 1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9">
    <w:name w:val="List Table 4 - Accent 2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0">
    <w:name w:val="List Table 4 - Accent 3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1">
    <w:name w:val="List Table 4 - Accent 4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2">
    <w:name w:val="List Table 4 - Accent 5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3">
    <w:name w:val="List Table 4 - Accent 6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64">
    <w:name w:val="List Table 5 Dark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65">
    <w:name w:val="List Table 5 Dark - Accent 1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66">
    <w:name w:val="List Table 5 Dark - Accent 2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67">
    <w:name w:val="List Table 5 Dark - Accent 3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68">
    <w:name w:val="List Table 5 Dark - Accent 4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69">
    <w:name w:val="List Table 5 Dark - Accent 5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70">
    <w:name w:val="List Table 5 Dark - Accent 6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71">
    <w:name w:val="List Table 6 Colorful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72">
    <w:name w:val="List Table 6 Colorful - Accent 1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74">
    <w:name w:val="List Table 6 Colorful - Accent 3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75">
    <w:name w:val="List Table 6 Colorful - Accent 4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76">
    <w:name w:val="List Table 6 Colorful - Accent 5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77">
    <w:name w:val="List Table 6 Colorful - Accent 6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78">
    <w:name w:val="List Table 7 Colorful"/>
    <w:basedOn w:val="8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79">
    <w:name w:val="List Table 7 Colorful - Accent 1"/>
    <w:basedOn w:val="8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780">
    <w:name w:val="List Table 7 Colorful - Accent 2"/>
    <w:basedOn w:val="8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81">
    <w:name w:val="List Table 7 Colorful - Accent 3"/>
    <w:basedOn w:val="8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82">
    <w:name w:val="List Table 7 Colorful - Accent 4"/>
    <w:basedOn w:val="8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83">
    <w:name w:val="List Table 7 Colorful - Accent 5"/>
    <w:basedOn w:val="8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84">
    <w:name w:val="List Table 7 Colorful - Accent 6"/>
    <w:basedOn w:val="8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85">
    <w:name w:val="Lined - Accent"/>
    <w:basedOn w:val="806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86">
    <w:name w:val="Lined - Accent 1"/>
    <w:basedOn w:val="806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787">
    <w:name w:val="Lined - Accent 2"/>
    <w:basedOn w:val="806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788">
    <w:name w:val="Lined - Accent 3"/>
    <w:basedOn w:val="806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789">
    <w:name w:val="Lined - Accent 4"/>
    <w:basedOn w:val="806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790">
    <w:name w:val="Lined - Accent 5"/>
    <w:basedOn w:val="806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791">
    <w:name w:val="Lined - Accent 6"/>
    <w:basedOn w:val="806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792">
    <w:name w:val="Bordered &amp; Lined - Accent"/>
    <w:basedOn w:val="806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93">
    <w:name w:val="Bordered &amp; Lined - Accent 1"/>
    <w:basedOn w:val="806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794">
    <w:name w:val="Bordered &amp; Lined - Accent 2"/>
    <w:basedOn w:val="806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795">
    <w:name w:val="Bordered &amp; Lined - Accent 3"/>
    <w:basedOn w:val="806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796">
    <w:name w:val="Bordered &amp; Lined - Accent 4"/>
    <w:basedOn w:val="806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797">
    <w:name w:val="Bordered &amp; Lined - Accent 5"/>
    <w:basedOn w:val="806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798">
    <w:name w:val="Bordered &amp; Lined - Accent 6"/>
    <w:basedOn w:val="806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799">
    <w:name w:val="Bordered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00">
    <w:name w:val="Bordered - Accent 1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02">
    <w:name w:val="Bordered - Accent 3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03">
    <w:name w:val="Bordered - Accent 4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04">
    <w:name w:val="Bordered - Accent 5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05">
    <w:name w:val="Bordered - Accent 6"/>
    <w:basedOn w:val="8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06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LibreOffice/25.2.4.3$Windows_X86_64 LibreOffice_project/33e196637044ead23f5c3226cde09b47731f7e27</Application>
  <AppVersion>15.0000</AppVersion>
  <DocSecurity>0</DocSecurity>
  <Pages>2</Pages>
  <Words>471</Words>
  <Characters>2939</Characters>
  <CharactersWithSpaces>3171</CharactersWithSpaces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2025-09-10T10:56:10Z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