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54" w:rsidRDefault="00044D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54" w:rsidRDefault="00044D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0F54" w:rsidRDefault="00044D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0F54" w:rsidRDefault="00A70F5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0F54" w:rsidRDefault="00A70F5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0F54" w:rsidRDefault="00044D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70F54" w:rsidRDefault="00A70F54">
      <w:pPr>
        <w:tabs>
          <w:tab w:val="left" w:pos="709"/>
        </w:tabs>
        <w:jc w:val="center"/>
        <w:rPr>
          <w:sz w:val="28"/>
        </w:rPr>
      </w:pPr>
    </w:p>
    <w:p w:rsidR="00A70F54" w:rsidRDefault="00A70F54">
      <w:pPr>
        <w:tabs>
          <w:tab w:val="left" w:pos="709"/>
        </w:tabs>
        <w:jc w:val="center"/>
        <w:rPr>
          <w:sz w:val="28"/>
        </w:rPr>
      </w:pPr>
    </w:p>
    <w:p w:rsidR="00A70F54" w:rsidRDefault="00044D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FF71F1">
        <w:rPr>
          <w:sz w:val="28"/>
        </w:rPr>
        <w:t>13</w:t>
      </w:r>
      <w:r>
        <w:rPr>
          <w:sz w:val="28"/>
        </w:rPr>
        <w:t>»</w:t>
      </w:r>
      <w:r w:rsidR="00FF71F1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FF71F1">
        <w:rPr>
          <w:sz w:val="28"/>
        </w:rPr>
        <w:tab/>
      </w:r>
      <w:r w:rsidR="00FF71F1">
        <w:rPr>
          <w:sz w:val="28"/>
        </w:rPr>
        <w:tab/>
      </w:r>
      <w:r>
        <w:rPr>
          <w:sz w:val="28"/>
        </w:rPr>
        <w:t xml:space="preserve">  № </w:t>
      </w:r>
      <w:r w:rsidR="00FF71F1">
        <w:rPr>
          <w:sz w:val="28"/>
        </w:rPr>
        <w:t>885-п</w:t>
      </w:r>
    </w:p>
    <w:p w:rsidR="00A70F54" w:rsidRDefault="00A70F54">
      <w:pPr>
        <w:tabs>
          <w:tab w:val="left" w:pos="709"/>
        </w:tabs>
        <w:jc w:val="both"/>
        <w:rPr>
          <w:sz w:val="28"/>
        </w:rPr>
      </w:pPr>
    </w:p>
    <w:p w:rsidR="00A70F54" w:rsidRDefault="00A70F54">
      <w:pPr>
        <w:tabs>
          <w:tab w:val="left" w:pos="709"/>
        </w:tabs>
        <w:jc w:val="both"/>
        <w:rPr>
          <w:sz w:val="28"/>
        </w:rPr>
      </w:pPr>
    </w:p>
    <w:p w:rsidR="00A70F54" w:rsidRDefault="00044DEA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Касимовский муниципальный округ Рязанской области применительно к территориям Ардабьевского и Савостьяновского сельских округов Касимовского района Рязанской области</w:t>
      </w:r>
    </w:p>
    <w:bookmarkEnd w:id="0"/>
    <w:p w:rsidR="00A70F54" w:rsidRDefault="00A70F54">
      <w:pPr>
        <w:tabs>
          <w:tab w:val="left" w:pos="709"/>
        </w:tabs>
        <w:jc w:val="center"/>
        <w:rPr>
          <w:sz w:val="28"/>
          <w:szCs w:val="28"/>
        </w:rPr>
      </w:pPr>
    </w:p>
    <w:p w:rsidR="00A70F54" w:rsidRDefault="00A70F54">
      <w:pPr>
        <w:tabs>
          <w:tab w:val="left" w:pos="709"/>
        </w:tabs>
        <w:jc w:val="center"/>
        <w:rPr>
          <w:sz w:val="28"/>
        </w:rPr>
      </w:pPr>
    </w:p>
    <w:p w:rsidR="00A70F54" w:rsidRDefault="00044DEA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06.09.2022 № 320 «Об установлении случаев утверждения проектов генеральных планов, правил зем</w:t>
      </w:r>
      <w:r>
        <w:rPr>
          <w:color w:val="000000" w:themeColor="text1"/>
          <w:sz w:val="28"/>
        </w:rPr>
        <w:t xml:space="preserve">лепользования и застройки, планировки </w:t>
      </w:r>
      <w:r>
        <w:rPr>
          <w:color w:val="000000" w:themeColor="text1"/>
          <w:sz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 xml:space="preserve">правлении архитектуры и градостроительства Рязанской области», 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</w:t>
      </w:r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 – Касимовский муниципальный округ Рязанской области применительно к территориям Ардабьевского</w:t>
      </w:r>
      <w:r>
        <w:rPr>
          <w:rFonts w:ascii="Times New Roman" w:hAnsi="Times New Roman"/>
          <w:sz w:val="28"/>
          <w:szCs w:val="28"/>
        </w:rPr>
        <w:t xml:space="preserve"> и Савостьяновского сельских округов Касимовского района Рязанской области.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 xml:space="preserve">«Центр градостроительного развития Рязанской </w:t>
      </w:r>
      <w:r>
        <w:rPr>
          <w:rFonts w:ascii="Times New Roman" w:hAnsi="Times New Roman"/>
          <w:sz w:val="28"/>
        </w:rPr>
        <w:t>области»:</w:t>
      </w:r>
    </w:p>
    <w:p w:rsidR="00A70F54" w:rsidRDefault="00044DE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Касимовский муниципальный округ Рязанской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применительно к территориям Ардабьевского и Савостьяновского сельских округов Касимовского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  <w:szCs w:val="28"/>
        </w:rPr>
        <w:br/>
        <w:t>и раз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A70F54" w:rsidRDefault="00044DE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ascii="Times New Roman" w:hAnsi="Times New Roman"/>
          <w:color w:val="000000" w:themeColor="text1"/>
          <w:sz w:val="28"/>
          <w:szCs w:val="28"/>
        </w:rPr>
        <w:t>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70F54" w:rsidRDefault="00044DE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70F54" w:rsidRDefault="00044DE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</w:t>
      </w:r>
      <w:r>
        <w:rPr>
          <w:rFonts w:ascii="Times New Roman" w:hAnsi="Times New Roman"/>
          <w:color w:val="auto"/>
          <w:sz w:val="28"/>
        </w:rPr>
        <w:t>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</w:t>
      </w:r>
      <w:r>
        <w:rPr>
          <w:rFonts w:ascii="Times New Roman" w:hAnsi="Times New Roman"/>
          <w:sz w:val="28"/>
        </w:rPr>
        <w:t>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>не подлежащими применению решения Думы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Касимовского муниципального района Рязанской облас</w:t>
      </w:r>
      <w:r>
        <w:rPr>
          <w:rFonts w:ascii="Times New Roman" w:hAnsi="Times New Roman"/>
          <w:color w:val="000000" w:themeColor="text1"/>
          <w:sz w:val="28"/>
          <w:szCs w:val="28"/>
        </w:rPr>
        <w:t>ти от 30.03.2017 № 286-</w:t>
      </w:r>
      <w:r>
        <w:rPr>
          <w:rFonts w:ascii="Times New Roman" w:hAnsi="Times New Roman"/>
          <w:color w:val="000000" w:themeColor="text1"/>
          <w:sz w:val="28"/>
          <w:szCs w:val="28"/>
          <w:lang w:val="en-CA"/>
        </w:rPr>
        <w:t>VC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Ардабьевское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Касимовского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300-</w:t>
      </w:r>
      <w:r>
        <w:rPr>
          <w:rFonts w:ascii="Times New Roman" w:hAnsi="Times New Roman"/>
          <w:color w:val="000000" w:themeColor="text1"/>
          <w:sz w:val="28"/>
          <w:szCs w:val="28"/>
          <w:lang w:val="en-CA"/>
        </w:rPr>
        <w:t>VC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highlight w:val="white"/>
        </w:rPr>
        <w:t xml:space="preserve"> «Об утверждении Правил землепол</w:t>
      </w:r>
      <w:r>
        <w:rPr>
          <w:rFonts w:ascii="Times New Roman" w:hAnsi="Times New Roman"/>
          <w:sz w:val="28"/>
          <w:szCs w:val="28"/>
          <w:highlight w:val="white"/>
        </w:rPr>
        <w:t xml:space="preserve">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Савостьяновское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Касимовского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A70F54" w:rsidRDefault="00044DEA" w:rsidP="00044D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заместителя начальника главного управления архитектуры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A70F54" w:rsidRDefault="00A70F54">
      <w:pPr>
        <w:tabs>
          <w:tab w:val="left" w:pos="709"/>
        </w:tabs>
        <w:jc w:val="center"/>
        <w:rPr>
          <w:sz w:val="28"/>
        </w:rPr>
      </w:pPr>
    </w:p>
    <w:p w:rsidR="00A70F54" w:rsidRDefault="00A70F54">
      <w:pPr>
        <w:tabs>
          <w:tab w:val="left" w:pos="709"/>
        </w:tabs>
        <w:jc w:val="center"/>
        <w:rPr>
          <w:sz w:val="28"/>
          <w:szCs w:val="28"/>
        </w:rPr>
      </w:pPr>
    </w:p>
    <w:p w:rsidR="00A70F54" w:rsidRDefault="00044DEA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A70F5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EA" w:rsidRDefault="00044DEA">
      <w:r>
        <w:separator/>
      </w:r>
    </w:p>
  </w:endnote>
  <w:endnote w:type="continuationSeparator" w:id="0">
    <w:p w:rsidR="00044DEA" w:rsidRDefault="0004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EA" w:rsidRDefault="00044DEA">
      <w:r>
        <w:separator/>
      </w:r>
    </w:p>
  </w:footnote>
  <w:footnote w:type="continuationSeparator" w:id="0">
    <w:p w:rsidR="00044DEA" w:rsidRDefault="0004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54" w:rsidRDefault="00044DE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F71F1" w:rsidRPr="00FF71F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70F54" w:rsidRDefault="00A70F5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4489"/>
    <w:multiLevelType w:val="multilevel"/>
    <w:tmpl w:val="5C6E71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54"/>
    <w:rsid w:val="00044DEA"/>
    <w:rsid w:val="00A70F54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42F6"/>
  <w15:docId w15:val="{88972A2B-52E0-42CD-B835-F6B6770D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270</cp:revision>
  <dcterms:created xsi:type="dcterms:W3CDTF">2025-10-13T07:58:00Z</dcterms:created>
  <dcterms:modified xsi:type="dcterms:W3CDTF">2025-10-13T07:59:00Z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